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B08" w:rsidRDefault="00BB5199" w:rsidP="004F6CE4">
      <w:pPr>
        <w:spacing w:line="276" w:lineRule="auto"/>
      </w:pPr>
      <w:r>
        <w:tab/>
      </w:r>
      <w:r w:rsidR="00E44997">
        <w:tab/>
      </w:r>
      <w:r w:rsidR="00E44997">
        <w:tab/>
      </w:r>
      <w:r w:rsidR="00E44997">
        <w:tab/>
      </w:r>
      <w:r w:rsidR="00E44997">
        <w:tab/>
      </w:r>
      <w:r w:rsidR="00E44997">
        <w:tab/>
      </w:r>
      <w:r w:rsidR="00E44997">
        <w:tab/>
      </w:r>
      <w:r w:rsidR="00E44997">
        <w:tab/>
      </w:r>
      <w:r w:rsidR="00E44997">
        <w:tab/>
      </w:r>
      <w:r w:rsidR="00E44997">
        <w:tab/>
      </w:r>
      <w:r w:rsidR="00E44997">
        <w:tab/>
      </w:r>
      <w:r w:rsidR="00E44997">
        <w:tab/>
      </w:r>
    </w:p>
    <w:p w:rsidR="00E44997" w:rsidRDefault="00E44997" w:rsidP="004F6CE4">
      <w:pPr>
        <w:spacing w:line="276" w:lineRule="auto"/>
      </w:pPr>
    </w:p>
    <w:p w:rsidR="00936ADA" w:rsidRDefault="00936ADA" w:rsidP="004F6CE4">
      <w:pPr>
        <w:spacing w:after="0" w:line="276" w:lineRule="auto"/>
        <w:rPr>
          <w:b/>
          <w:bCs/>
          <w:sz w:val="28"/>
          <w:szCs w:val="28"/>
        </w:rPr>
      </w:pPr>
    </w:p>
    <w:p w:rsidR="00AF0342" w:rsidRPr="004F6CE4" w:rsidRDefault="00E37999" w:rsidP="004F6CE4">
      <w:pPr>
        <w:spacing w:line="276" w:lineRule="auto"/>
        <w:rPr>
          <w:i/>
          <w:sz w:val="28"/>
          <w:szCs w:val="28"/>
        </w:rPr>
      </w:pPr>
      <w:r>
        <w:rPr>
          <w:i/>
          <w:sz w:val="28"/>
          <w:szCs w:val="28"/>
        </w:rPr>
        <w:t>June 1</w:t>
      </w:r>
      <w:r w:rsidR="002E69B7">
        <w:rPr>
          <w:i/>
          <w:sz w:val="28"/>
          <w:szCs w:val="28"/>
        </w:rPr>
        <w:t>4</w:t>
      </w:r>
      <w:r w:rsidR="00147C92" w:rsidRPr="004F6CE4">
        <w:rPr>
          <w:i/>
          <w:sz w:val="28"/>
          <w:szCs w:val="28"/>
        </w:rPr>
        <w:t>, 2019</w:t>
      </w:r>
    </w:p>
    <w:p w:rsidR="00095374" w:rsidRPr="004F6CE4" w:rsidRDefault="00095374" w:rsidP="004F6CE4">
      <w:pPr>
        <w:pStyle w:val="NoSpacing"/>
        <w:spacing w:line="276" w:lineRule="auto"/>
        <w:rPr>
          <w:b/>
          <w:sz w:val="28"/>
        </w:rPr>
      </w:pPr>
      <w:r w:rsidRPr="004F6CE4">
        <w:rPr>
          <w:b/>
          <w:sz w:val="28"/>
        </w:rPr>
        <w:t>Overview</w:t>
      </w:r>
      <w:r w:rsidR="00791FA4">
        <w:rPr>
          <w:b/>
          <w:sz w:val="28"/>
        </w:rPr>
        <w:t>:</w:t>
      </w:r>
    </w:p>
    <w:p w:rsidR="005D2B92" w:rsidRPr="00104D70" w:rsidRDefault="00E37999" w:rsidP="005D2B92">
      <w:r>
        <w:t xml:space="preserve">Back in session following the Memorial Day recess, the House </w:t>
      </w:r>
      <w:r w:rsidR="005D2B92" w:rsidRPr="00104D70">
        <w:t>is pushing forward with appropriations measures for fiscal year 2020, which begins on October 1.</w:t>
      </w:r>
      <w:r w:rsidR="00EF2C86">
        <w:t xml:space="preserve"> </w:t>
      </w:r>
      <w:r>
        <w:t xml:space="preserve">There still is no agreement, however, among the House, the Senate, and the White House on </w:t>
      </w:r>
      <w:r w:rsidR="005D2B92" w:rsidRPr="00104D70">
        <w:t xml:space="preserve">raising caps on discretionary spending that were imposed by the Budget Control Act of 2011. </w:t>
      </w:r>
      <w:r>
        <w:t xml:space="preserve">Meanwhile, </w:t>
      </w:r>
      <w:r w:rsidR="00414F4D">
        <w:t xml:space="preserve">draft legislation to reauthorize the Older Americans Act is circulating in the Senate Committee on Health, Education, Labor and Pensions (HELP), bills </w:t>
      </w:r>
      <w:r w:rsidR="00264C18">
        <w:t>have been introduced</w:t>
      </w:r>
      <w:r w:rsidR="00414F4D">
        <w:t xml:space="preserve"> to </w:t>
      </w:r>
      <w:r w:rsidR="0058433E">
        <w:t xml:space="preserve">expand and </w:t>
      </w:r>
      <w:r w:rsidR="00414F4D">
        <w:t xml:space="preserve">make a wide range of improvements in the Low-Income Housing Tax Credit, and </w:t>
      </w:r>
      <w:r w:rsidR="00923634">
        <w:t xml:space="preserve">the Senate Finance Committee leadership continues moving forward on </w:t>
      </w:r>
      <w:r w:rsidR="00414F4D">
        <w:t xml:space="preserve">legislation to continue the income tax medical expense deduction’s 7.5% adjusted gross income </w:t>
      </w:r>
      <w:r w:rsidR="00923634">
        <w:t xml:space="preserve">threshold. </w:t>
      </w:r>
    </w:p>
    <w:p w:rsidR="00A03F8E" w:rsidRDefault="00A03F8E" w:rsidP="004F6CE4">
      <w:pPr>
        <w:spacing w:after="0" w:line="276" w:lineRule="auto"/>
        <w:rPr>
          <w:rFonts w:eastAsia="Calibri" w:cstheme="minorHAnsi"/>
        </w:rPr>
      </w:pPr>
    </w:p>
    <w:p w:rsidR="0084319D" w:rsidRDefault="0084319D" w:rsidP="002A39F6">
      <w:pPr>
        <w:pStyle w:val="NoSpacing"/>
        <w:spacing w:line="276" w:lineRule="auto"/>
        <w:rPr>
          <w:rFonts w:cstheme="minorHAnsi"/>
          <w:b/>
          <w:sz w:val="28"/>
        </w:rPr>
      </w:pPr>
      <w:r>
        <w:rPr>
          <w:rFonts w:cstheme="minorHAnsi"/>
          <w:b/>
          <w:sz w:val="28"/>
        </w:rPr>
        <w:t>Affordable Senior Housing</w:t>
      </w:r>
      <w:r w:rsidR="00980BCD">
        <w:rPr>
          <w:rFonts w:cstheme="minorHAnsi"/>
          <w:b/>
          <w:sz w:val="28"/>
        </w:rPr>
        <w:t xml:space="preserve"> – Fiscal 2020 Funding</w:t>
      </w:r>
    </w:p>
    <w:p w:rsidR="00992DF6" w:rsidRDefault="00A73AB3" w:rsidP="001C297C">
      <w:pPr>
        <w:pStyle w:val="NoSpacing"/>
        <w:spacing w:line="276" w:lineRule="auto"/>
        <w:rPr>
          <w:rFonts w:cstheme="minorHAnsi"/>
        </w:rPr>
      </w:pPr>
      <w:r>
        <w:rPr>
          <w:rFonts w:cstheme="minorHAnsi"/>
        </w:rPr>
        <w:t>The House</w:t>
      </w:r>
      <w:r w:rsidR="001C297C">
        <w:rPr>
          <w:rFonts w:cstheme="minorHAnsi"/>
        </w:rPr>
        <w:t xml:space="preserve"> Appropriations Committee has approved a Transportation/Housing and Urban Development (HUD) fiscal 2020 spending measure that would provide the </w:t>
      </w:r>
      <w:r w:rsidR="00553E8F">
        <w:rPr>
          <w:rFonts w:cstheme="minorHAnsi"/>
        </w:rPr>
        <w:t xml:space="preserve">largest increase in funding senior housing programs have received since 2010. The legislation </w:t>
      </w:r>
      <w:r w:rsidR="001C297C">
        <w:rPr>
          <w:rFonts w:cstheme="minorHAnsi"/>
        </w:rPr>
        <w:t>includes the following provisions:</w:t>
      </w:r>
    </w:p>
    <w:p w:rsidR="001C297C" w:rsidRDefault="001C297C" w:rsidP="001C297C">
      <w:pPr>
        <w:pStyle w:val="NoSpacing"/>
        <w:spacing w:line="276" w:lineRule="auto"/>
        <w:rPr>
          <w:rFonts w:cstheme="minorHAnsi"/>
        </w:rPr>
      </w:pPr>
    </w:p>
    <w:p w:rsidR="00553E8F" w:rsidRDefault="001C297C" w:rsidP="00553E8F">
      <w:pPr>
        <w:pStyle w:val="NoSpacing"/>
        <w:numPr>
          <w:ilvl w:val="0"/>
          <w:numId w:val="39"/>
        </w:numPr>
        <w:spacing w:line="276" w:lineRule="auto"/>
        <w:rPr>
          <w:rFonts w:cstheme="minorHAnsi"/>
        </w:rPr>
      </w:pPr>
      <w:r>
        <w:rPr>
          <w:rFonts w:cstheme="minorHAnsi"/>
        </w:rPr>
        <w:t xml:space="preserve">$803 million for </w:t>
      </w:r>
      <w:r w:rsidR="00553E8F">
        <w:rPr>
          <w:rFonts w:cstheme="minorHAnsi"/>
        </w:rPr>
        <w:t>Section 202</w:t>
      </w:r>
      <w:r>
        <w:rPr>
          <w:rFonts w:cstheme="minorHAnsi"/>
        </w:rPr>
        <w:t>, a $125 million increase over this year’s spending</w:t>
      </w:r>
      <w:r w:rsidR="00553E8F">
        <w:rPr>
          <w:rFonts w:cstheme="minorHAnsi"/>
        </w:rPr>
        <w:t xml:space="preserve">. This amount includes $140 million for new construction and $95 million for service coordinators, the </w:t>
      </w:r>
      <w:r w:rsidR="0058433E">
        <w:rPr>
          <w:rFonts w:cstheme="minorHAnsi"/>
        </w:rPr>
        <w:t>largest</w:t>
      </w:r>
      <w:r w:rsidR="00553E8F">
        <w:rPr>
          <w:rFonts w:cstheme="minorHAnsi"/>
        </w:rPr>
        <w:t xml:space="preserve"> increase in funding for this program </w:t>
      </w:r>
      <w:r w:rsidR="0058433E">
        <w:rPr>
          <w:rFonts w:cstheme="minorHAnsi"/>
        </w:rPr>
        <w:t>since 2010</w:t>
      </w:r>
      <w:r w:rsidR="00553E8F">
        <w:rPr>
          <w:rFonts w:cstheme="minorHAnsi"/>
        </w:rPr>
        <w:t>;</w:t>
      </w:r>
    </w:p>
    <w:p w:rsidR="001C297C" w:rsidRDefault="001C297C" w:rsidP="00553E8F">
      <w:pPr>
        <w:pStyle w:val="NoSpacing"/>
        <w:numPr>
          <w:ilvl w:val="0"/>
          <w:numId w:val="39"/>
        </w:numPr>
        <w:spacing w:line="276" w:lineRule="auto"/>
        <w:rPr>
          <w:rFonts w:cstheme="minorHAnsi"/>
        </w:rPr>
      </w:pPr>
      <w:r>
        <w:rPr>
          <w:rFonts w:cstheme="minorHAnsi"/>
        </w:rPr>
        <w:t>$259 million for housing for people with disabilities;</w:t>
      </w:r>
    </w:p>
    <w:p w:rsidR="001C297C" w:rsidRDefault="00553E8F" w:rsidP="00553E8F">
      <w:pPr>
        <w:pStyle w:val="NoSpacing"/>
        <w:numPr>
          <w:ilvl w:val="0"/>
          <w:numId w:val="39"/>
        </w:numPr>
        <w:spacing w:line="276" w:lineRule="auto"/>
        <w:rPr>
          <w:rFonts w:cstheme="minorHAnsi"/>
        </w:rPr>
      </w:pPr>
      <w:r>
        <w:rPr>
          <w:rFonts w:cstheme="minorHAnsi"/>
        </w:rPr>
        <w:t>Full renewal funding for all Section 202 rental assistance contracts, including Project-Based Rental Assistance and Project Rental Assistance Contracts.</w:t>
      </w:r>
    </w:p>
    <w:p w:rsidR="001C297C" w:rsidRPr="00553E8F" w:rsidRDefault="00553E8F" w:rsidP="00553E8F">
      <w:pPr>
        <w:pStyle w:val="NoSpacing"/>
        <w:numPr>
          <w:ilvl w:val="0"/>
          <w:numId w:val="39"/>
        </w:numPr>
        <w:spacing w:line="276" w:lineRule="auto"/>
        <w:rPr>
          <w:rFonts w:ascii="Calibri" w:hAnsi="Calibri" w:cs="Calibri"/>
        </w:rPr>
      </w:pPr>
      <w:r>
        <w:rPr>
          <w:rFonts w:cstheme="minorHAnsi"/>
        </w:rPr>
        <w:t xml:space="preserve">$10 million </w:t>
      </w:r>
      <w:r w:rsidRPr="00553E8F">
        <w:rPr>
          <w:rFonts w:ascii="Calibri" w:hAnsi="Calibri" w:cs="Calibri"/>
          <w:color w:val="121316"/>
        </w:rPr>
        <w:t>for HUD’s home modification program for older adults.</w:t>
      </w:r>
    </w:p>
    <w:p w:rsidR="00553E8F" w:rsidRDefault="00553E8F" w:rsidP="00553E8F">
      <w:pPr>
        <w:pStyle w:val="NoSpacing"/>
        <w:numPr>
          <w:ilvl w:val="0"/>
          <w:numId w:val="39"/>
        </w:numPr>
        <w:spacing w:line="276" w:lineRule="auto"/>
        <w:rPr>
          <w:rFonts w:ascii="Calibri" w:hAnsi="Calibri" w:cs="Calibri"/>
        </w:rPr>
      </w:pPr>
      <w:r>
        <w:rPr>
          <w:rFonts w:ascii="Calibri" w:hAnsi="Calibri" w:cs="Calibri"/>
        </w:rPr>
        <w:t xml:space="preserve">A ban on </w:t>
      </w:r>
      <w:r w:rsidR="006F153E">
        <w:rPr>
          <w:rFonts w:ascii="Calibri" w:hAnsi="Calibri" w:cs="Calibri"/>
        </w:rPr>
        <w:t>the use of</w:t>
      </w:r>
      <w:r>
        <w:rPr>
          <w:rFonts w:ascii="Calibri" w:hAnsi="Calibri" w:cs="Calibri"/>
        </w:rPr>
        <w:t xml:space="preserve"> funds to carry out a</w:t>
      </w:r>
      <w:r w:rsidR="006F153E">
        <w:rPr>
          <w:rFonts w:ascii="Calibri" w:hAnsi="Calibri" w:cs="Calibri"/>
        </w:rPr>
        <w:t xml:space="preserve"> HUD-proposed</w:t>
      </w:r>
      <w:r>
        <w:rPr>
          <w:rFonts w:ascii="Calibri" w:hAnsi="Calibri" w:cs="Calibri"/>
        </w:rPr>
        <w:t xml:space="preserve"> regulation </w:t>
      </w:r>
      <w:r w:rsidR="006F153E">
        <w:rPr>
          <w:rFonts w:ascii="Calibri" w:hAnsi="Calibri" w:cs="Calibri"/>
        </w:rPr>
        <w:t>that would force families out of assisted housing if any member of the household failed to meet immigration status documentation requirements.</w:t>
      </w:r>
    </w:p>
    <w:p w:rsidR="0058433E" w:rsidRPr="0058433E" w:rsidRDefault="0058433E" w:rsidP="0058433E">
      <w:pPr>
        <w:pStyle w:val="NoSpacing"/>
        <w:numPr>
          <w:ilvl w:val="0"/>
          <w:numId w:val="39"/>
        </w:numPr>
        <w:spacing w:line="276" w:lineRule="auto"/>
        <w:rPr>
          <w:rFonts w:ascii="Calibri" w:hAnsi="Calibri" w:cs="Calibri"/>
        </w:rPr>
      </w:pPr>
      <w:r>
        <w:rPr>
          <w:rFonts w:ascii="Calibri" w:hAnsi="Calibri" w:cs="Calibri"/>
        </w:rPr>
        <w:t xml:space="preserve">Language in the report accompanying the bill directs HUD’s research office to collaborate with CMS on </w:t>
      </w:r>
      <w:r>
        <w:t>the use of Medicare and Medicaid funds to support programs making affordable senior housing a platform for services to promote aging in community.</w:t>
      </w:r>
    </w:p>
    <w:p w:rsidR="001C297C" w:rsidRPr="00104D70" w:rsidRDefault="001C297C" w:rsidP="001C297C">
      <w:pPr>
        <w:pStyle w:val="NoSpacing"/>
        <w:spacing w:line="276" w:lineRule="auto"/>
        <w:rPr>
          <w:rFonts w:cstheme="minorHAnsi"/>
        </w:rPr>
      </w:pPr>
    </w:p>
    <w:p w:rsidR="00A22392" w:rsidRDefault="00553E8F" w:rsidP="001D09CA">
      <w:pPr>
        <w:pStyle w:val="NoSpacing"/>
        <w:spacing w:line="276" w:lineRule="auto"/>
        <w:rPr>
          <w:rFonts w:cstheme="minorHAnsi"/>
        </w:rPr>
      </w:pPr>
      <w:r>
        <w:rPr>
          <w:rFonts w:cstheme="minorHAnsi"/>
        </w:rPr>
        <w:t xml:space="preserve">The House leadership plans to combine fiscal 2020 spending bills into a series of so-called “minibuses” to facilitate their passage and hopes to have all twelve bills </w:t>
      </w:r>
      <w:r w:rsidR="00061AF6">
        <w:rPr>
          <w:rFonts w:cstheme="minorHAnsi"/>
        </w:rPr>
        <w:t>through the House by the July 4 recess.</w:t>
      </w:r>
    </w:p>
    <w:p w:rsidR="00061AF6" w:rsidRDefault="00061AF6" w:rsidP="001D09CA">
      <w:pPr>
        <w:pStyle w:val="NoSpacing"/>
        <w:spacing w:line="276" w:lineRule="auto"/>
        <w:rPr>
          <w:rFonts w:cstheme="minorHAnsi"/>
        </w:rPr>
      </w:pPr>
    </w:p>
    <w:p w:rsidR="00061AF6" w:rsidRDefault="00061AF6" w:rsidP="001D09CA">
      <w:pPr>
        <w:pStyle w:val="NoSpacing"/>
        <w:spacing w:line="276" w:lineRule="auto"/>
        <w:rPr>
          <w:rFonts w:cstheme="minorHAnsi"/>
        </w:rPr>
      </w:pPr>
      <w:r>
        <w:rPr>
          <w:rFonts w:cstheme="minorHAnsi"/>
        </w:rPr>
        <w:t>We also expect the Senate Appropriations Committee to begin work on its version of 2020 funding for federal housing programs. But before legislation can be finally enacted, Congress and the White House will have to reach an agreement on raising the budget caps.</w:t>
      </w:r>
    </w:p>
    <w:p w:rsidR="00061AF6" w:rsidRDefault="00061AF6" w:rsidP="001D09CA">
      <w:pPr>
        <w:pStyle w:val="NoSpacing"/>
        <w:spacing w:line="276" w:lineRule="auto"/>
        <w:rPr>
          <w:rFonts w:cstheme="minorHAnsi"/>
        </w:rPr>
      </w:pPr>
      <w:r>
        <w:rPr>
          <w:rFonts w:cstheme="minorHAnsi"/>
        </w:rPr>
        <w:t xml:space="preserve">                                             </w:t>
      </w:r>
    </w:p>
    <w:p w:rsidR="00820E28" w:rsidRDefault="00820E28" w:rsidP="002A39F6">
      <w:pPr>
        <w:pStyle w:val="NoSpacing"/>
        <w:spacing w:line="276" w:lineRule="auto"/>
        <w:rPr>
          <w:rFonts w:cstheme="minorHAnsi"/>
          <w:b/>
          <w:sz w:val="28"/>
        </w:rPr>
      </w:pPr>
    </w:p>
    <w:p w:rsidR="00820E28" w:rsidRDefault="00820E28" w:rsidP="002A39F6">
      <w:pPr>
        <w:pStyle w:val="NoSpacing"/>
        <w:spacing w:line="276" w:lineRule="auto"/>
        <w:rPr>
          <w:rFonts w:cstheme="minorHAnsi"/>
          <w:b/>
          <w:sz w:val="28"/>
        </w:rPr>
      </w:pPr>
    </w:p>
    <w:p w:rsidR="00820E28" w:rsidRDefault="00820E28" w:rsidP="002A39F6">
      <w:pPr>
        <w:pStyle w:val="NoSpacing"/>
        <w:spacing w:line="276" w:lineRule="auto"/>
        <w:rPr>
          <w:rFonts w:cstheme="minorHAnsi"/>
          <w:b/>
          <w:sz w:val="28"/>
        </w:rPr>
      </w:pPr>
    </w:p>
    <w:p w:rsidR="00C75004" w:rsidRDefault="00C75004" w:rsidP="00C75004">
      <w:pPr>
        <w:spacing w:before="100" w:beforeAutospacing="1" w:after="100" w:afterAutospacing="1"/>
        <w:rPr>
          <w:rFonts w:eastAsia="Calibri" w:cstheme="minorHAnsi"/>
          <w:b/>
          <w:sz w:val="28"/>
          <w:szCs w:val="28"/>
        </w:rPr>
      </w:pPr>
      <w:r>
        <w:rPr>
          <w:rFonts w:eastAsia="Calibri" w:cstheme="minorHAnsi"/>
          <w:b/>
          <w:sz w:val="28"/>
          <w:szCs w:val="28"/>
        </w:rPr>
        <w:t xml:space="preserve">Proposed </w:t>
      </w:r>
      <w:bookmarkStart w:id="0" w:name="_GoBack"/>
      <w:bookmarkEnd w:id="0"/>
      <w:r>
        <w:rPr>
          <w:rFonts w:eastAsia="Calibri" w:cstheme="minorHAnsi"/>
          <w:b/>
          <w:sz w:val="28"/>
          <w:szCs w:val="28"/>
        </w:rPr>
        <w:t>HUD rule on immigration status:</w:t>
      </w:r>
    </w:p>
    <w:p w:rsidR="00820E28" w:rsidRDefault="00C75004" w:rsidP="00C75004">
      <w:pPr>
        <w:pStyle w:val="NoSpacing"/>
        <w:spacing w:line="276" w:lineRule="auto"/>
      </w:pPr>
      <w:r>
        <w:rPr>
          <w:rFonts w:eastAsia="Calibri" w:cstheme="minorHAnsi"/>
        </w:rPr>
        <w:t xml:space="preserve">We are extremely concerned about a rule HUD proposed on May 10, which </w:t>
      </w:r>
      <w:r>
        <w:t xml:space="preserve">would end the practice of having “mixed status” families in federally assisted housing. The proposed rule would also require noncitizens who are 62 years old and older, who currently are only required to provide a signed declaration of eligible immigration status and a proof of age document, to submit immigration documentation. HUD’s impact analysis of the proposed rule estimates that 108,000 people would be affected, at least 70% of whom are eligible for HUD assistance. In addition to supporting legislative nullification under the HUD fiscal 2020 spending bill, we are filing comments in opposition to the rule, including member input. Comment deadline is July 9, 2019. </w:t>
      </w:r>
    </w:p>
    <w:p w:rsidR="00C75004" w:rsidRDefault="00C75004" w:rsidP="00C75004">
      <w:pPr>
        <w:pStyle w:val="NoSpacing"/>
        <w:spacing w:line="276" w:lineRule="auto"/>
        <w:rPr>
          <w:rFonts w:cstheme="minorHAnsi"/>
          <w:b/>
          <w:sz w:val="28"/>
        </w:rPr>
      </w:pPr>
    </w:p>
    <w:p w:rsidR="004B2D84" w:rsidRPr="007F07A4" w:rsidRDefault="004B2D84" w:rsidP="004B2D84">
      <w:pPr>
        <w:spacing w:after="0" w:line="276" w:lineRule="auto"/>
        <w:rPr>
          <w:rFonts w:eastAsia="Calibri" w:cstheme="minorHAnsi"/>
          <w:b/>
          <w:sz w:val="28"/>
        </w:rPr>
      </w:pPr>
      <w:r>
        <w:rPr>
          <w:rFonts w:eastAsia="Calibri" w:cstheme="minorHAnsi"/>
          <w:b/>
          <w:sz w:val="28"/>
        </w:rPr>
        <w:t>Low-Income Housing Tax Credit:</w:t>
      </w:r>
    </w:p>
    <w:p w:rsidR="004B2D84" w:rsidRDefault="004B2D84" w:rsidP="00C75004">
      <w:pPr>
        <w:pStyle w:val="NoSpacing"/>
        <w:spacing w:line="276" w:lineRule="auto"/>
        <w:rPr>
          <w:rFonts w:cstheme="minorHAnsi"/>
          <w:b/>
          <w:sz w:val="28"/>
        </w:rPr>
      </w:pPr>
      <w:r>
        <w:rPr>
          <w:rFonts w:eastAsia="Calibri" w:cstheme="minorHAnsi"/>
        </w:rPr>
        <w:t xml:space="preserve">On June 4, identical bills were introduced in the Senate (S. 1703) and House (H.R. 3077) by </w:t>
      </w:r>
      <w:r w:rsidRPr="00687222">
        <w:rPr>
          <w:rFonts w:eastAsia="Calibri" w:cstheme="minorHAnsi"/>
        </w:rPr>
        <w:t>Senators Maria Cantwell (D-WA), Johnny Isakson (R-GA), Ron Wyden (D-OR), and Todd Young (R-IN), and Representatives Suzan DelBene (D-WA), Kenny Marchant (R-TX), Don Beyer (D-</w:t>
      </w:r>
      <w:r>
        <w:rPr>
          <w:rFonts w:eastAsia="Calibri" w:cstheme="minorHAnsi"/>
        </w:rPr>
        <w:t xml:space="preserve">VA), and Jackie </w:t>
      </w:r>
      <w:proofErr w:type="spellStart"/>
      <w:r>
        <w:rPr>
          <w:rFonts w:eastAsia="Calibri" w:cstheme="minorHAnsi"/>
        </w:rPr>
        <w:t>Walorski</w:t>
      </w:r>
      <w:proofErr w:type="spellEnd"/>
      <w:r>
        <w:rPr>
          <w:rFonts w:eastAsia="Calibri" w:cstheme="minorHAnsi"/>
        </w:rPr>
        <w:t xml:space="preserve"> (R-IN). The bills would expand state Housing Credit allocations by 50% and make a long list of other improvements, including a 50% basis boost for communities serving extremely </w:t>
      </w:r>
      <w:proofErr w:type="gramStart"/>
      <w:r>
        <w:rPr>
          <w:rFonts w:eastAsia="Calibri" w:cstheme="minorHAnsi"/>
        </w:rPr>
        <w:t>low income</w:t>
      </w:r>
      <w:proofErr w:type="gramEnd"/>
      <w:r>
        <w:rPr>
          <w:rFonts w:eastAsia="Calibri" w:cstheme="minorHAnsi"/>
        </w:rPr>
        <w:t xml:space="preserve"> households, a 30% basis boost for communities in rural areas, some fixes to year-15 special right of first refusal issues, and a 4% minimum credit rate for credits used for bond-financed developments and for acquisitions.</w:t>
      </w:r>
    </w:p>
    <w:p w:rsidR="004B2D84" w:rsidRDefault="004B2D84" w:rsidP="00C75004">
      <w:pPr>
        <w:pStyle w:val="NoSpacing"/>
        <w:spacing w:line="276" w:lineRule="auto"/>
        <w:rPr>
          <w:rFonts w:cstheme="minorHAnsi"/>
          <w:b/>
          <w:sz w:val="28"/>
        </w:rPr>
      </w:pPr>
    </w:p>
    <w:p w:rsidR="002A39F6" w:rsidRPr="004F6CE4" w:rsidRDefault="002A39F6" w:rsidP="002A39F6">
      <w:pPr>
        <w:pStyle w:val="NoSpacing"/>
        <w:spacing w:line="276" w:lineRule="auto"/>
        <w:rPr>
          <w:rFonts w:cstheme="minorHAnsi"/>
          <w:b/>
          <w:sz w:val="28"/>
        </w:rPr>
      </w:pPr>
      <w:r w:rsidRPr="004F6CE4">
        <w:rPr>
          <w:rFonts w:cstheme="minorHAnsi"/>
          <w:b/>
          <w:sz w:val="28"/>
        </w:rPr>
        <w:t>Medicare Observation Days legislation:</w:t>
      </w:r>
    </w:p>
    <w:p w:rsidR="002A39F6" w:rsidRPr="004F6CE4" w:rsidRDefault="003F6EA7" w:rsidP="002A39F6">
      <w:pPr>
        <w:pStyle w:val="NoSpacing"/>
        <w:spacing w:line="276" w:lineRule="auto"/>
        <w:rPr>
          <w:rFonts w:cstheme="minorHAnsi"/>
          <w:b/>
          <w:u w:val="single"/>
        </w:rPr>
      </w:pPr>
      <w:r w:rsidRPr="003F6EA7">
        <w:rPr>
          <w:rFonts w:cstheme="minorHAnsi"/>
        </w:rPr>
        <w:t xml:space="preserve">When the House Ways and Means </w:t>
      </w:r>
      <w:proofErr w:type="gramStart"/>
      <w:r w:rsidRPr="003F6EA7">
        <w:rPr>
          <w:rFonts w:cstheme="minorHAnsi"/>
        </w:rPr>
        <w:t>Health</w:t>
      </w:r>
      <w:proofErr w:type="gramEnd"/>
      <w:r w:rsidRPr="003F6EA7">
        <w:rPr>
          <w:rFonts w:cstheme="minorHAnsi"/>
        </w:rPr>
        <w:t xml:space="preserve"> Subcommittee held a hearing May 21 on </w:t>
      </w:r>
      <w:r w:rsidRPr="003F6EA7">
        <w:rPr>
          <w:rFonts w:cstheme="minorHAnsi"/>
          <w:i/>
        </w:rPr>
        <w:t>Protecting Patients from Surprise Medical Bills</w:t>
      </w:r>
      <w:r w:rsidRPr="003F6EA7">
        <w:rPr>
          <w:rFonts w:cstheme="minorHAnsi"/>
        </w:rPr>
        <w:t>, LeadingAge joined a coalition of other stakeholders in telling the subcommittee that the Medicare "observation stays" issue is a big part of the problem that needs to be resolved.</w:t>
      </w:r>
      <w:r>
        <w:rPr>
          <w:rFonts w:cstheme="minorHAnsi"/>
        </w:rPr>
        <w:t xml:space="preserve"> </w:t>
      </w:r>
      <w:r w:rsidRPr="003F6EA7">
        <w:rPr>
          <w:rFonts w:cstheme="minorHAnsi"/>
          <w:color w:val="121316"/>
        </w:rPr>
        <w:t xml:space="preserve">Our </w:t>
      </w:r>
      <w:hyperlink r:id="rId8" w:history="1">
        <w:r w:rsidR="00155AE9" w:rsidRPr="00155AE9">
          <w:rPr>
            <w:rStyle w:val="Hyperlink"/>
            <w:rFonts w:cstheme="minorHAnsi"/>
          </w:rPr>
          <w:t>statement</w:t>
        </w:r>
      </w:hyperlink>
      <w:r w:rsidR="00155AE9">
        <w:rPr>
          <w:rFonts w:cstheme="minorHAnsi"/>
          <w:color w:val="121316"/>
        </w:rPr>
        <w:t xml:space="preserve"> </w:t>
      </w:r>
      <w:r w:rsidRPr="003F6EA7">
        <w:rPr>
          <w:rFonts w:cstheme="minorHAnsi"/>
          <w:color w:val="121316"/>
        </w:rPr>
        <w:t>for the hearing record pointed out that Medicare beneficiaries whose hospital stays are designated as outpatient/observation are "surprised" when confronted with bills for post-acute care not covered by Medicare because of the beneficiary's failure to meet the three-day inpatient stay requirement.</w:t>
      </w:r>
      <w:r w:rsidRPr="00155AE9">
        <w:rPr>
          <w:rFonts w:cstheme="minorHAnsi"/>
          <w:color w:val="121316"/>
        </w:rPr>
        <w:t> </w:t>
      </w:r>
      <w:r w:rsidR="00155AE9" w:rsidRPr="00155AE9">
        <w:rPr>
          <w:rFonts w:cstheme="minorHAnsi"/>
          <w:color w:val="121316"/>
        </w:rPr>
        <w:t>We</w:t>
      </w:r>
      <w:r w:rsidR="00155AE9">
        <w:rPr>
          <w:rFonts w:cstheme="minorHAnsi"/>
        </w:rPr>
        <w:t xml:space="preserve"> continue to urge Congress to pass l</w:t>
      </w:r>
      <w:r w:rsidR="002A39F6" w:rsidRPr="00104D70">
        <w:rPr>
          <w:rFonts w:cstheme="minorHAnsi"/>
        </w:rPr>
        <w:t>egislation, H.R. 1682 and S. 753</w:t>
      </w:r>
      <w:r w:rsidR="00155AE9">
        <w:rPr>
          <w:rFonts w:cstheme="minorHAnsi"/>
        </w:rPr>
        <w:t>,</w:t>
      </w:r>
      <w:r w:rsidR="002A39F6" w:rsidRPr="00104D70">
        <w:rPr>
          <w:rFonts w:cstheme="minorHAnsi"/>
        </w:rPr>
        <w:t xml:space="preserve"> to re</w:t>
      </w:r>
      <w:r w:rsidR="00155AE9">
        <w:rPr>
          <w:rFonts w:cstheme="minorHAnsi"/>
        </w:rPr>
        <w:t>quir</w:t>
      </w:r>
      <w:r w:rsidR="002A39F6" w:rsidRPr="00104D70">
        <w:rPr>
          <w:rFonts w:cstheme="minorHAnsi"/>
        </w:rPr>
        <w:t>e all time Medicare beneficiaries spend in a hospital to count toward the three-day stay requirement for coverage of any subsequent post-acute care</w:t>
      </w:r>
      <w:r w:rsidR="00155AE9">
        <w:rPr>
          <w:rFonts w:cstheme="minorHAnsi"/>
        </w:rPr>
        <w:t>.</w:t>
      </w:r>
    </w:p>
    <w:p w:rsidR="00974D0E" w:rsidRDefault="00974D0E" w:rsidP="002A39F6">
      <w:pPr>
        <w:pStyle w:val="NoSpacing"/>
        <w:spacing w:line="276" w:lineRule="auto"/>
        <w:rPr>
          <w:rFonts w:cstheme="minorHAnsi"/>
          <w:b/>
          <w:sz w:val="28"/>
        </w:rPr>
      </w:pPr>
    </w:p>
    <w:p w:rsidR="002E69B7" w:rsidRDefault="002E69B7" w:rsidP="002A39F6">
      <w:pPr>
        <w:pStyle w:val="NoSpacing"/>
        <w:spacing w:line="276" w:lineRule="auto"/>
        <w:rPr>
          <w:rFonts w:cstheme="minorHAnsi"/>
          <w:b/>
          <w:sz w:val="28"/>
        </w:rPr>
      </w:pPr>
    </w:p>
    <w:p w:rsidR="002E69B7" w:rsidRDefault="002E69B7" w:rsidP="002A39F6">
      <w:pPr>
        <w:pStyle w:val="NoSpacing"/>
        <w:spacing w:line="276" w:lineRule="auto"/>
        <w:rPr>
          <w:rFonts w:cstheme="minorHAnsi"/>
          <w:b/>
          <w:sz w:val="28"/>
        </w:rPr>
      </w:pPr>
    </w:p>
    <w:p w:rsidR="002E69B7" w:rsidRDefault="002E69B7" w:rsidP="002A39F6">
      <w:pPr>
        <w:pStyle w:val="NoSpacing"/>
        <w:spacing w:line="276" w:lineRule="auto"/>
        <w:rPr>
          <w:rFonts w:cstheme="minorHAnsi"/>
          <w:b/>
          <w:sz w:val="28"/>
        </w:rPr>
      </w:pPr>
    </w:p>
    <w:p w:rsidR="002E69B7" w:rsidRDefault="002E69B7" w:rsidP="002A39F6">
      <w:pPr>
        <w:pStyle w:val="NoSpacing"/>
        <w:spacing w:line="276" w:lineRule="auto"/>
        <w:rPr>
          <w:rFonts w:cstheme="minorHAnsi"/>
          <w:b/>
          <w:sz w:val="28"/>
        </w:rPr>
      </w:pPr>
    </w:p>
    <w:p w:rsidR="002E69B7" w:rsidRDefault="002E69B7" w:rsidP="002A39F6">
      <w:pPr>
        <w:pStyle w:val="NoSpacing"/>
        <w:spacing w:line="276" w:lineRule="auto"/>
        <w:rPr>
          <w:rFonts w:cstheme="minorHAnsi"/>
          <w:b/>
          <w:sz w:val="28"/>
        </w:rPr>
      </w:pPr>
    </w:p>
    <w:p w:rsidR="002E69B7" w:rsidRDefault="002E69B7" w:rsidP="002A39F6">
      <w:pPr>
        <w:pStyle w:val="NoSpacing"/>
        <w:spacing w:line="276" w:lineRule="auto"/>
        <w:rPr>
          <w:rFonts w:cstheme="minorHAnsi"/>
          <w:b/>
          <w:sz w:val="28"/>
        </w:rPr>
      </w:pPr>
    </w:p>
    <w:p w:rsidR="002E69B7" w:rsidRDefault="002E69B7" w:rsidP="002A39F6">
      <w:pPr>
        <w:pStyle w:val="NoSpacing"/>
        <w:spacing w:line="276" w:lineRule="auto"/>
        <w:rPr>
          <w:rFonts w:cstheme="minorHAnsi"/>
          <w:b/>
          <w:sz w:val="28"/>
        </w:rPr>
      </w:pPr>
    </w:p>
    <w:p w:rsidR="002E69B7" w:rsidRDefault="002E69B7" w:rsidP="002A39F6">
      <w:pPr>
        <w:pStyle w:val="NoSpacing"/>
        <w:spacing w:line="276" w:lineRule="auto"/>
        <w:rPr>
          <w:rFonts w:cstheme="minorHAnsi"/>
          <w:b/>
          <w:sz w:val="28"/>
        </w:rPr>
      </w:pPr>
    </w:p>
    <w:p w:rsidR="002E69B7" w:rsidRDefault="002E69B7" w:rsidP="002A39F6">
      <w:pPr>
        <w:pStyle w:val="NoSpacing"/>
        <w:spacing w:line="276" w:lineRule="auto"/>
        <w:rPr>
          <w:rFonts w:cstheme="minorHAnsi"/>
          <w:b/>
          <w:sz w:val="28"/>
        </w:rPr>
      </w:pPr>
    </w:p>
    <w:p w:rsidR="002A39F6" w:rsidRPr="004F6CE4" w:rsidRDefault="002A39F6" w:rsidP="002A39F6">
      <w:pPr>
        <w:pStyle w:val="NoSpacing"/>
        <w:spacing w:line="276" w:lineRule="auto"/>
        <w:rPr>
          <w:rFonts w:cstheme="minorHAnsi"/>
          <w:b/>
          <w:sz w:val="28"/>
        </w:rPr>
      </w:pPr>
      <w:r w:rsidRPr="004F6CE4">
        <w:rPr>
          <w:rFonts w:cstheme="minorHAnsi"/>
          <w:b/>
          <w:sz w:val="28"/>
        </w:rPr>
        <w:t xml:space="preserve">Home and </w:t>
      </w:r>
      <w:r>
        <w:rPr>
          <w:rFonts w:cstheme="minorHAnsi"/>
          <w:b/>
          <w:sz w:val="28"/>
        </w:rPr>
        <w:t>c</w:t>
      </w:r>
      <w:r w:rsidRPr="004F6CE4">
        <w:rPr>
          <w:rFonts w:cstheme="minorHAnsi"/>
          <w:b/>
          <w:sz w:val="28"/>
        </w:rPr>
        <w:t>ommunity-</w:t>
      </w:r>
      <w:r>
        <w:rPr>
          <w:rFonts w:cstheme="minorHAnsi"/>
          <w:b/>
          <w:sz w:val="28"/>
        </w:rPr>
        <w:t>b</w:t>
      </w:r>
      <w:r w:rsidRPr="004F6CE4">
        <w:rPr>
          <w:rFonts w:cstheme="minorHAnsi"/>
          <w:b/>
          <w:sz w:val="28"/>
        </w:rPr>
        <w:t xml:space="preserve">ased </w:t>
      </w:r>
      <w:r>
        <w:rPr>
          <w:rFonts w:cstheme="minorHAnsi"/>
          <w:b/>
          <w:sz w:val="28"/>
        </w:rPr>
        <w:t>s</w:t>
      </w:r>
      <w:r w:rsidRPr="004F6CE4">
        <w:rPr>
          <w:rFonts w:cstheme="minorHAnsi"/>
          <w:b/>
          <w:sz w:val="28"/>
        </w:rPr>
        <w:t>ervices (HCBS)</w:t>
      </w:r>
      <w:r>
        <w:rPr>
          <w:rFonts w:cstheme="minorHAnsi"/>
          <w:b/>
          <w:sz w:val="28"/>
        </w:rPr>
        <w:t>:</w:t>
      </w:r>
    </w:p>
    <w:p w:rsidR="00611B99" w:rsidRDefault="00611B99" w:rsidP="002A39F6">
      <w:pPr>
        <w:pStyle w:val="NoSpacing"/>
        <w:spacing w:line="276" w:lineRule="auto"/>
        <w:rPr>
          <w:rFonts w:cstheme="minorHAnsi"/>
          <w:b/>
          <w:i/>
        </w:rPr>
      </w:pPr>
    </w:p>
    <w:p w:rsidR="00F22064" w:rsidRDefault="002A39F6" w:rsidP="002A39F6">
      <w:pPr>
        <w:pStyle w:val="NoSpacing"/>
        <w:spacing w:line="276" w:lineRule="auto"/>
        <w:rPr>
          <w:rFonts w:cstheme="minorHAnsi"/>
        </w:rPr>
      </w:pPr>
      <w:r w:rsidRPr="004F6CE4">
        <w:rPr>
          <w:rFonts w:cstheme="minorHAnsi"/>
          <w:b/>
          <w:i/>
        </w:rPr>
        <w:t>Older Americans Act</w:t>
      </w:r>
      <w:r>
        <w:rPr>
          <w:rFonts w:cstheme="minorHAnsi"/>
        </w:rPr>
        <w:t>:</w:t>
      </w:r>
      <w:r w:rsidRPr="004F6CE4">
        <w:rPr>
          <w:rFonts w:cstheme="minorHAnsi"/>
        </w:rPr>
        <w:t xml:space="preserve"> The law that funds a wide range of home and community-based services, including congregate and home-delivered meals, family caregiver support, and transportation, is due for reauthorization this year. </w:t>
      </w:r>
      <w:r w:rsidR="00061AF6">
        <w:rPr>
          <w:rFonts w:cstheme="minorHAnsi"/>
        </w:rPr>
        <w:t xml:space="preserve">The Senate Health, Education, Labor and Pensions Committee has issued a draft measure that </w:t>
      </w:r>
      <w:r w:rsidR="00D52637">
        <w:rPr>
          <w:rFonts w:cstheme="minorHAnsi"/>
        </w:rPr>
        <w:t xml:space="preserve">we are reviewing. </w:t>
      </w:r>
      <w:r w:rsidR="009D6121">
        <w:rPr>
          <w:rFonts w:cstheme="minorHAnsi"/>
        </w:rPr>
        <w:t xml:space="preserve">On the House side, the Education </w:t>
      </w:r>
      <w:r w:rsidR="001E42C0">
        <w:rPr>
          <w:rFonts w:cstheme="minorHAnsi"/>
        </w:rPr>
        <w:t>and Labor Committee held a hearing to discuss key OAA programs; the committee plans to release a legislative package once consensus is reached among its members.</w:t>
      </w:r>
    </w:p>
    <w:p w:rsidR="00F22064" w:rsidRDefault="00F22064" w:rsidP="002A39F6">
      <w:pPr>
        <w:pStyle w:val="NoSpacing"/>
        <w:spacing w:line="276" w:lineRule="auto"/>
        <w:rPr>
          <w:rFonts w:cstheme="minorHAnsi"/>
        </w:rPr>
      </w:pPr>
    </w:p>
    <w:p w:rsidR="00AF7BA2" w:rsidRDefault="00D52637" w:rsidP="002A39F6">
      <w:pPr>
        <w:pStyle w:val="NoSpacing"/>
        <w:spacing w:line="276" w:lineRule="auto"/>
        <w:rPr>
          <w:rFonts w:cstheme="minorHAnsi"/>
        </w:rPr>
      </w:pPr>
      <w:r>
        <w:rPr>
          <w:rFonts w:cstheme="minorHAnsi"/>
        </w:rPr>
        <w:t>In addition, funding for Older Americans Act programs in fiscal 2020</w:t>
      </w:r>
      <w:r w:rsidR="00F22064">
        <w:rPr>
          <w:rFonts w:cstheme="minorHAnsi"/>
        </w:rPr>
        <w:t xml:space="preserve"> will be taken up by the House during the week of June 10 as part of an </w:t>
      </w:r>
      <w:proofErr w:type="gramStart"/>
      <w:r w:rsidR="00F22064">
        <w:rPr>
          <w:rFonts w:cstheme="minorHAnsi"/>
        </w:rPr>
        <w:t>appropriations</w:t>
      </w:r>
      <w:proofErr w:type="gramEnd"/>
      <w:r w:rsidR="00F22064">
        <w:rPr>
          <w:rFonts w:cstheme="minorHAnsi"/>
        </w:rPr>
        <w:t xml:space="preserve"> “minibus”.</w:t>
      </w:r>
      <w:r w:rsidR="00AF7BA2">
        <w:rPr>
          <w:rFonts w:cstheme="minorHAnsi"/>
        </w:rPr>
        <w:t xml:space="preserve"> The spending bill has the following provisions:</w:t>
      </w:r>
    </w:p>
    <w:p w:rsidR="00AF7BA2" w:rsidRDefault="00AF7BA2" w:rsidP="002A39F6">
      <w:pPr>
        <w:pStyle w:val="NoSpacing"/>
        <w:spacing w:line="276" w:lineRule="auto"/>
        <w:rPr>
          <w:rFonts w:cstheme="minorHAnsi"/>
        </w:rPr>
      </w:pPr>
    </w:p>
    <w:p w:rsidR="00AF7BA2" w:rsidRDefault="00AF7BA2" w:rsidP="00AF7BA2">
      <w:pPr>
        <w:pStyle w:val="NoSpacing"/>
        <w:numPr>
          <w:ilvl w:val="0"/>
          <w:numId w:val="40"/>
        </w:numPr>
        <w:spacing w:line="276" w:lineRule="auto"/>
        <w:rPr>
          <w:rFonts w:cstheme="minorHAnsi"/>
        </w:rPr>
      </w:pPr>
      <w:r>
        <w:rPr>
          <w:rFonts w:cstheme="minorHAnsi"/>
        </w:rPr>
        <w:t>$1 billion for senior nutrition programs, a $93 million increase over current spending;</w:t>
      </w:r>
    </w:p>
    <w:p w:rsidR="00AF7BA2" w:rsidRDefault="00AF7BA2" w:rsidP="00AF7BA2">
      <w:pPr>
        <w:pStyle w:val="NoSpacing"/>
        <w:numPr>
          <w:ilvl w:val="0"/>
          <w:numId w:val="40"/>
        </w:numPr>
        <w:spacing w:line="276" w:lineRule="auto"/>
        <w:rPr>
          <w:rFonts w:cstheme="minorHAnsi"/>
        </w:rPr>
      </w:pPr>
      <w:r>
        <w:rPr>
          <w:rFonts w:cstheme="minorHAnsi"/>
        </w:rPr>
        <w:t>$245 million for family caregiver support, an increase of $26 million over this year;</w:t>
      </w:r>
    </w:p>
    <w:p w:rsidR="00AF7BA2" w:rsidRDefault="00AF7BA2" w:rsidP="00AF7BA2">
      <w:pPr>
        <w:pStyle w:val="NoSpacing"/>
        <w:numPr>
          <w:ilvl w:val="0"/>
          <w:numId w:val="40"/>
        </w:numPr>
        <w:spacing w:line="276" w:lineRule="auto"/>
        <w:rPr>
          <w:rFonts w:cstheme="minorHAnsi"/>
        </w:rPr>
      </w:pPr>
      <w:r>
        <w:rPr>
          <w:rFonts w:cstheme="minorHAnsi"/>
        </w:rPr>
        <w:t>$3.8 billion for Low-Income Home Energy Assistance, a $150 million increase;</w:t>
      </w:r>
    </w:p>
    <w:p w:rsidR="00AF7BA2" w:rsidRDefault="00AF7BA2" w:rsidP="00AF7BA2">
      <w:pPr>
        <w:pStyle w:val="NoSpacing"/>
        <w:numPr>
          <w:ilvl w:val="0"/>
          <w:numId w:val="40"/>
        </w:numPr>
        <w:spacing w:line="276" w:lineRule="auto"/>
        <w:rPr>
          <w:rFonts w:cstheme="minorHAnsi"/>
        </w:rPr>
      </w:pPr>
      <w:r>
        <w:rPr>
          <w:rFonts w:cstheme="minorHAnsi"/>
        </w:rPr>
        <w:t>$760 million for Community Services Block Grants, which many states use to provide home- and community-based services. This funding level represents an increase of $35 million.</w:t>
      </w:r>
    </w:p>
    <w:p w:rsidR="00AF7BA2" w:rsidRDefault="00AF7BA2" w:rsidP="002A39F6">
      <w:pPr>
        <w:pStyle w:val="NoSpacing"/>
        <w:spacing w:line="276" w:lineRule="auto"/>
        <w:rPr>
          <w:rFonts w:cstheme="minorHAnsi"/>
        </w:rPr>
      </w:pPr>
    </w:p>
    <w:p w:rsidR="0017374F" w:rsidRDefault="00AF7BA2" w:rsidP="002A39F6">
      <w:pPr>
        <w:pStyle w:val="NoSpacing"/>
        <w:spacing w:line="276" w:lineRule="auto"/>
        <w:rPr>
          <w:rFonts w:cstheme="minorHAnsi"/>
        </w:rPr>
      </w:pPr>
      <w:r>
        <w:rPr>
          <w:rFonts w:cstheme="minorHAnsi"/>
        </w:rPr>
        <w:t>This appropriations measure faces the same challenge as the Transportation/HUD spending bill, the need for consensus among the two houses of Congress and the President on total spending levels for fiscal 2020, now less than four months away.</w:t>
      </w:r>
      <w:r w:rsidR="00061AF6">
        <w:rPr>
          <w:rFonts w:cstheme="minorHAnsi"/>
        </w:rPr>
        <w:t xml:space="preserve"> </w:t>
      </w:r>
    </w:p>
    <w:p w:rsidR="00061AF6" w:rsidRDefault="00061AF6" w:rsidP="002A39F6">
      <w:pPr>
        <w:pStyle w:val="NoSpacing"/>
        <w:spacing w:line="276" w:lineRule="auto"/>
        <w:rPr>
          <w:rFonts w:cstheme="minorHAnsi"/>
        </w:rPr>
      </w:pPr>
    </w:p>
    <w:p w:rsidR="0017374F" w:rsidRDefault="0017374F" w:rsidP="002A39F6">
      <w:pPr>
        <w:pStyle w:val="NoSpacing"/>
        <w:spacing w:line="276" w:lineRule="auto"/>
        <w:rPr>
          <w:rFonts w:cstheme="minorHAnsi"/>
        </w:rPr>
      </w:pPr>
      <w:r w:rsidRPr="0017374F">
        <w:rPr>
          <w:rFonts w:cstheme="minorHAnsi"/>
          <w:b/>
          <w:i/>
        </w:rPr>
        <w:t>Home Health Payment Innovation Act</w:t>
      </w:r>
      <w:r>
        <w:rPr>
          <w:rFonts w:cstheme="minorHAnsi"/>
        </w:rPr>
        <w:t xml:space="preserve">: On May 8, Rep. Terry Sewell (D-AL) introduced H.R. 2573, </w:t>
      </w:r>
      <w:r w:rsidR="001E42C0">
        <w:rPr>
          <w:rFonts w:cstheme="minorHAnsi"/>
        </w:rPr>
        <w:t xml:space="preserve">a companion measure to S. 433, </w:t>
      </w:r>
      <w:r>
        <w:rPr>
          <w:rFonts w:cstheme="minorHAnsi"/>
        </w:rPr>
        <w:t xml:space="preserve">to </w:t>
      </w:r>
      <w:r w:rsidRPr="0017374F">
        <w:rPr>
          <w:rFonts w:cstheme="minorHAnsi"/>
        </w:rPr>
        <w:t xml:space="preserve">prevent unwarranted </w:t>
      </w:r>
      <w:r>
        <w:rPr>
          <w:rFonts w:cstheme="minorHAnsi"/>
        </w:rPr>
        <w:t xml:space="preserve">Medicare </w:t>
      </w:r>
      <w:r w:rsidRPr="0017374F">
        <w:rPr>
          <w:rFonts w:cstheme="minorHAnsi"/>
        </w:rPr>
        <w:t>payment rate cuts by basing any behavioral adjustment on actual evidence and limit the risk of disruption in care by providing a phase-in for any necessary rate increases or decreases.</w:t>
      </w:r>
      <w:r>
        <w:rPr>
          <w:rFonts w:cstheme="minorHAnsi"/>
        </w:rPr>
        <w:t xml:space="preserve"> </w:t>
      </w:r>
      <w:r w:rsidR="001E42C0">
        <w:rPr>
          <w:rFonts w:cstheme="minorHAnsi"/>
        </w:rPr>
        <w:t xml:space="preserve">The legislation will also waive homebound rules for some Medicare beneficiaries. </w:t>
      </w:r>
      <w:r>
        <w:rPr>
          <w:rFonts w:cstheme="minorHAnsi"/>
        </w:rPr>
        <w:t xml:space="preserve">The bill has bipartisan </w:t>
      </w:r>
      <w:proofErr w:type="spellStart"/>
      <w:r>
        <w:rPr>
          <w:rFonts w:cstheme="minorHAnsi"/>
        </w:rPr>
        <w:t>cosponsorship</w:t>
      </w:r>
      <w:proofErr w:type="spellEnd"/>
      <w:r>
        <w:rPr>
          <w:rFonts w:cstheme="minorHAnsi"/>
        </w:rPr>
        <w:t xml:space="preserve">, and LeadingAge, </w:t>
      </w:r>
      <w:proofErr w:type="spellStart"/>
      <w:r>
        <w:rPr>
          <w:rFonts w:cstheme="minorHAnsi"/>
        </w:rPr>
        <w:t>ElevatingHome</w:t>
      </w:r>
      <w:proofErr w:type="spellEnd"/>
      <w:r>
        <w:rPr>
          <w:rFonts w:cstheme="minorHAnsi"/>
        </w:rPr>
        <w:t>, and the Visiting Nurses Association</w:t>
      </w:r>
      <w:r w:rsidR="00B83799">
        <w:rPr>
          <w:rFonts w:cstheme="minorHAnsi"/>
        </w:rPr>
        <w:t>s</w:t>
      </w:r>
      <w:r>
        <w:rPr>
          <w:rFonts w:cstheme="minorHAnsi"/>
        </w:rPr>
        <w:t xml:space="preserve"> of America support the legislation.</w:t>
      </w:r>
    </w:p>
    <w:p w:rsidR="0039398C" w:rsidRDefault="0039398C" w:rsidP="002A39F6">
      <w:pPr>
        <w:pStyle w:val="NoSpacing"/>
        <w:spacing w:line="276" w:lineRule="auto"/>
        <w:rPr>
          <w:rFonts w:cstheme="minorHAnsi"/>
          <w:b/>
          <w:sz w:val="28"/>
        </w:rPr>
      </w:pPr>
    </w:p>
    <w:p w:rsidR="00280083" w:rsidRDefault="00280083" w:rsidP="002A39F6">
      <w:pPr>
        <w:pStyle w:val="NoSpacing"/>
        <w:spacing w:line="276" w:lineRule="auto"/>
        <w:rPr>
          <w:rFonts w:cstheme="minorHAnsi"/>
          <w:b/>
          <w:bCs/>
          <w:u w:val="single"/>
        </w:rPr>
      </w:pPr>
      <w:r>
        <w:rPr>
          <w:rFonts w:cstheme="minorHAnsi"/>
          <w:b/>
          <w:sz w:val="28"/>
        </w:rPr>
        <w:t>Workforce</w:t>
      </w:r>
      <w:r w:rsidRPr="004F6CE4">
        <w:rPr>
          <w:rFonts w:cstheme="minorHAnsi"/>
          <w:b/>
          <w:sz w:val="28"/>
        </w:rPr>
        <w:t>:</w:t>
      </w:r>
    </w:p>
    <w:p w:rsidR="00C321FD" w:rsidRDefault="00280083" w:rsidP="002A39F6">
      <w:pPr>
        <w:pStyle w:val="NoSpacing"/>
        <w:spacing w:line="276" w:lineRule="auto"/>
        <w:rPr>
          <w:rStyle w:val="A2"/>
        </w:rPr>
      </w:pPr>
      <w:bookmarkStart w:id="1" w:name="_Hlk11250660"/>
      <w:r>
        <w:rPr>
          <w:rFonts w:cstheme="minorHAnsi"/>
          <w:b/>
          <w:bCs/>
          <w:i/>
        </w:rPr>
        <w:t xml:space="preserve">Geriatric Workforce Enhancement Program reauthorization: </w:t>
      </w:r>
      <w:r>
        <w:rPr>
          <w:rFonts w:cstheme="minorHAnsi"/>
          <w:bCs/>
        </w:rPr>
        <w:t xml:space="preserve">We are working for passage of S. 299, </w:t>
      </w:r>
      <w:r w:rsidR="008E70E5">
        <w:rPr>
          <w:rStyle w:val="A2"/>
        </w:rPr>
        <w:t xml:space="preserve">the Geriatrics Workforce Improvement Act introduced by Senators Susan Collins (R-ME) and Bob Casey (D-PA). This bill would help to ensure a more adequate supply of health care and other professionals trained and educated to meet the special needs of people as they age. </w:t>
      </w:r>
    </w:p>
    <w:p w:rsidR="00C321FD" w:rsidRDefault="00C321FD" w:rsidP="002A39F6">
      <w:pPr>
        <w:pStyle w:val="NoSpacing"/>
        <w:spacing w:line="276" w:lineRule="auto"/>
        <w:rPr>
          <w:rStyle w:val="A2"/>
        </w:rPr>
      </w:pPr>
    </w:p>
    <w:p w:rsidR="002E69B7" w:rsidRDefault="002E69B7" w:rsidP="002A39F6">
      <w:pPr>
        <w:pStyle w:val="NoSpacing"/>
        <w:spacing w:line="276" w:lineRule="auto"/>
        <w:rPr>
          <w:rStyle w:val="A2"/>
        </w:rPr>
      </w:pPr>
    </w:p>
    <w:p w:rsidR="002E69B7" w:rsidRDefault="002E69B7" w:rsidP="002A39F6">
      <w:pPr>
        <w:pStyle w:val="NoSpacing"/>
        <w:spacing w:line="276" w:lineRule="auto"/>
        <w:rPr>
          <w:rStyle w:val="A2"/>
        </w:rPr>
      </w:pPr>
    </w:p>
    <w:p w:rsidR="002E69B7" w:rsidRDefault="002E69B7" w:rsidP="002A39F6">
      <w:pPr>
        <w:pStyle w:val="NoSpacing"/>
        <w:spacing w:line="276" w:lineRule="auto"/>
        <w:rPr>
          <w:rStyle w:val="A2"/>
        </w:rPr>
      </w:pPr>
    </w:p>
    <w:p w:rsidR="002E69B7" w:rsidRDefault="002E69B7" w:rsidP="002A39F6">
      <w:pPr>
        <w:pStyle w:val="NoSpacing"/>
        <w:spacing w:line="276" w:lineRule="auto"/>
        <w:rPr>
          <w:rStyle w:val="A2"/>
        </w:rPr>
      </w:pPr>
    </w:p>
    <w:p w:rsidR="002E69B7" w:rsidRDefault="002E69B7" w:rsidP="002A39F6">
      <w:pPr>
        <w:pStyle w:val="NoSpacing"/>
        <w:spacing w:line="276" w:lineRule="auto"/>
        <w:rPr>
          <w:rStyle w:val="A2"/>
        </w:rPr>
      </w:pPr>
    </w:p>
    <w:p w:rsidR="002E69B7" w:rsidRDefault="002E69B7" w:rsidP="002A39F6">
      <w:pPr>
        <w:pStyle w:val="NoSpacing"/>
        <w:spacing w:line="276" w:lineRule="auto"/>
        <w:rPr>
          <w:rStyle w:val="A2"/>
        </w:rPr>
      </w:pPr>
    </w:p>
    <w:p w:rsidR="002E69B7" w:rsidRDefault="002E69B7" w:rsidP="002A39F6">
      <w:pPr>
        <w:pStyle w:val="NoSpacing"/>
        <w:spacing w:line="276" w:lineRule="auto"/>
        <w:rPr>
          <w:rStyle w:val="A2"/>
        </w:rPr>
      </w:pPr>
    </w:p>
    <w:p w:rsidR="002E69B7" w:rsidRDefault="002E69B7" w:rsidP="002A39F6">
      <w:pPr>
        <w:pStyle w:val="NoSpacing"/>
        <w:spacing w:line="276" w:lineRule="auto"/>
        <w:rPr>
          <w:rStyle w:val="A2"/>
        </w:rPr>
      </w:pPr>
    </w:p>
    <w:p w:rsidR="00280083" w:rsidRPr="004F6CE4" w:rsidRDefault="00C321FD" w:rsidP="002A39F6">
      <w:pPr>
        <w:pStyle w:val="NoSpacing"/>
        <w:spacing w:line="276" w:lineRule="auto"/>
        <w:rPr>
          <w:rFonts w:cstheme="minorHAnsi"/>
          <w:b/>
          <w:bCs/>
          <w:u w:val="single"/>
        </w:rPr>
      </w:pPr>
      <w:r>
        <w:rPr>
          <w:rStyle w:val="A2"/>
        </w:rPr>
        <w:t>In the House, H.R. 2781, the</w:t>
      </w:r>
      <w:r w:rsidR="0034208F">
        <w:rPr>
          <w:rStyle w:val="A2"/>
        </w:rPr>
        <w:t xml:space="preserve"> </w:t>
      </w:r>
      <w:bookmarkStart w:id="2" w:name="_Hlk11250606"/>
      <w:r w:rsidR="0034208F">
        <w:rPr>
          <w:rFonts w:eastAsia="Times New Roman" w:cstheme="minorHAnsi"/>
        </w:rPr>
        <w:t>Educating Medical Professionals and Optimizing Workforce Efficiency and Readiness (EMPOWER) for Health Act</w:t>
      </w:r>
      <w:bookmarkEnd w:id="2"/>
      <w:r w:rsidR="0034208F">
        <w:rPr>
          <w:rFonts w:eastAsia="Times New Roman" w:cstheme="minorHAnsi"/>
        </w:rPr>
        <w:t>, has been introduced</w:t>
      </w:r>
      <w:r w:rsidR="002E69B7">
        <w:rPr>
          <w:rFonts w:eastAsia="Times New Roman" w:cstheme="minorHAnsi"/>
        </w:rPr>
        <w:t>.</w:t>
      </w:r>
      <w:r w:rsidR="0034208F">
        <w:rPr>
          <w:rFonts w:eastAsia="Times New Roman" w:cstheme="minorHAnsi"/>
        </w:rPr>
        <w:t xml:space="preserve"> The legislation will reauthorize the Title VII health professions education and training programs from fiscal 2020 through 2024.</w:t>
      </w:r>
      <w:bookmarkEnd w:id="1"/>
    </w:p>
    <w:p w:rsidR="00370B3A" w:rsidRPr="004F6CE4" w:rsidRDefault="00370B3A" w:rsidP="002A39F6">
      <w:pPr>
        <w:pStyle w:val="NoSpacing"/>
        <w:spacing w:line="276" w:lineRule="auto"/>
        <w:rPr>
          <w:rFonts w:cstheme="minorHAnsi"/>
        </w:rPr>
      </w:pPr>
    </w:p>
    <w:p w:rsidR="005D2B92" w:rsidRDefault="005D2B92" w:rsidP="004F6CE4">
      <w:pPr>
        <w:pStyle w:val="NoSpacing"/>
        <w:spacing w:line="276" w:lineRule="auto"/>
        <w:rPr>
          <w:rFonts w:cstheme="minorHAnsi"/>
          <w:b/>
          <w:sz w:val="28"/>
        </w:rPr>
      </w:pPr>
      <w:bookmarkStart w:id="3" w:name="_Hlk6499373"/>
      <w:bookmarkStart w:id="4" w:name="_Hlk3477272"/>
      <w:r>
        <w:rPr>
          <w:rFonts w:cstheme="minorHAnsi"/>
          <w:b/>
          <w:sz w:val="28"/>
        </w:rPr>
        <w:t>“Medicare for All”:</w:t>
      </w:r>
    </w:p>
    <w:p w:rsidR="006A1BB3" w:rsidRDefault="0081116E" w:rsidP="00611B99">
      <w:pPr>
        <w:spacing w:after="0" w:line="276" w:lineRule="auto"/>
        <w:rPr>
          <w:color w:val="333333"/>
          <w:shd w:val="clear" w:color="auto" w:fill="FFFFFF"/>
        </w:rPr>
      </w:pPr>
      <w:r>
        <w:rPr>
          <w:rFonts w:eastAsia="Calibri" w:cstheme="minorHAnsi"/>
        </w:rPr>
        <w:t>Rep. Pramila Jayapal (D-WA) has introduced</w:t>
      </w:r>
      <w:r w:rsidR="00611B99">
        <w:rPr>
          <w:rFonts w:eastAsia="Calibri" w:cstheme="minorHAnsi"/>
        </w:rPr>
        <w:t xml:space="preserve"> H.R. 1384</w:t>
      </w:r>
      <w:r w:rsidR="008B1F34">
        <w:rPr>
          <w:rFonts w:eastAsia="Calibri" w:cstheme="minorHAnsi"/>
        </w:rPr>
        <w:t xml:space="preserve"> </w:t>
      </w:r>
      <w:r w:rsidR="00611B99">
        <w:rPr>
          <w:rFonts w:eastAsia="Calibri" w:cstheme="minorHAnsi"/>
        </w:rPr>
        <w:t>to “</w:t>
      </w:r>
      <w:r w:rsidR="00611B99">
        <w:rPr>
          <w:color w:val="333333"/>
          <w:shd w:val="clear" w:color="auto" w:fill="FFFFFF"/>
        </w:rPr>
        <w:t>establish . . . a national health insurance program to provide comprehensive protection against the costs of health care and health-related services . . . “.</w:t>
      </w:r>
      <w:r w:rsidR="001C66B3">
        <w:rPr>
          <w:color w:val="333333"/>
          <w:shd w:val="clear" w:color="auto" w:fill="FFFFFF"/>
        </w:rPr>
        <w:t xml:space="preserve"> </w:t>
      </w:r>
      <w:r w:rsidR="00611B99">
        <w:rPr>
          <w:color w:val="333333"/>
          <w:shd w:val="clear" w:color="auto" w:fill="FFFFFF"/>
        </w:rPr>
        <w:t xml:space="preserve">The </w:t>
      </w:r>
      <w:r w:rsidR="008B1F34">
        <w:rPr>
          <w:color w:val="333333"/>
          <w:shd w:val="clear" w:color="auto" w:fill="FFFFFF"/>
        </w:rPr>
        <w:t>bill</w:t>
      </w:r>
      <w:r w:rsidR="00611B99">
        <w:rPr>
          <w:color w:val="333333"/>
          <w:shd w:val="clear" w:color="auto" w:fill="FFFFFF"/>
        </w:rPr>
        <w:t xml:space="preserve"> would include long-term services and supports under the program it would establish. However, the legislation skimps on details like the services to be covered, eligibility, </w:t>
      </w:r>
      <w:r w:rsidR="005C4CD0">
        <w:rPr>
          <w:color w:val="333333"/>
          <w:shd w:val="clear" w:color="auto" w:fill="FFFFFF"/>
        </w:rPr>
        <w:t xml:space="preserve">provider reimbursement rates, </w:t>
      </w:r>
      <w:r w:rsidR="00611B99">
        <w:rPr>
          <w:color w:val="333333"/>
          <w:shd w:val="clear" w:color="auto" w:fill="FFFFFF"/>
        </w:rPr>
        <w:t>and how the entire system would be financed.</w:t>
      </w:r>
      <w:r w:rsidR="00A2588A">
        <w:rPr>
          <w:color w:val="333333"/>
          <w:shd w:val="clear" w:color="auto" w:fill="FFFFFF"/>
        </w:rPr>
        <w:t xml:space="preserve"> </w:t>
      </w:r>
    </w:p>
    <w:p w:rsidR="006A1BB3" w:rsidRDefault="006A1BB3" w:rsidP="00611B99">
      <w:pPr>
        <w:spacing w:after="0" w:line="276" w:lineRule="auto"/>
        <w:rPr>
          <w:color w:val="333333"/>
          <w:shd w:val="clear" w:color="auto" w:fill="FFFFFF"/>
        </w:rPr>
      </w:pPr>
    </w:p>
    <w:p w:rsidR="001C66B3" w:rsidRDefault="001C66B3" w:rsidP="001C66B3">
      <w:pPr>
        <w:spacing w:after="0" w:line="276" w:lineRule="auto"/>
        <w:rPr>
          <w:color w:val="333333"/>
          <w:shd w:val="clear" w:color="auto" w:fill="FFFFFF"/>
        </w:rPr>
      </w:pPr>
      <w:r>
        <w:rPr>
          <w:color w:val="333333"/>
          <w:shd w:val="clear" w:color="auto" w:fill="FFFFFF"/>
        </w:rPr>
        <w:t xml:space="preserve">Senator Bernie Sanders (I-VT) has introduced a somewhat different measure, </w:t>
      </w:r>
      <w:r w:rsidR="00383456">
        <w:rPr>
          <w:color w:val="333333"/>
          <w:shd w:val="clear" w:color="auto" w:fill="FFFFFF"/>
        </w:rPr>
        <w:t xml:space="preserve">S. 1129. </w:t>
      </w:r>
      <w:r w:rsidR="005C4CD0">
        <w:rPr>
          <w:color w:val="333333"/>
          <w:shd w:val="clear" w:color="auto" w:fill="FFFFFF"/>
        </w:rPr>
        <w:t>His broad-based replacement of the current health care system would do away with private insurance, with all health care coverage coming through a government program. The plan would cover home- and community-based long-term services and supports, as well as vision and dental care. Nursing home care would be covered by Medicaid.</w:t>
      </w:r>
    </w:p>
    <w:p w:rsidR="001C66B3" w:rsidRDefault="001C66B3" w:rsidP="00611B99">
      <w:pPr>
        <w:spacing w:after="0" w:line="276" w:lineRule="auto"/>
        <w:rPr>
          <w:color w:val="333333"/>
          <w:shd w:val="clear" w:color="auto" w:fill="FFFFFF"/>
        </w:rPr>
      </w:pPr>
    </w:p>
    <w:p w:rsidR="002C06A6" w:rsidRDefault="00A2588A" w:rsidP="00611B99">
      <w:pPr>
        <w:spacing w:after="0" w:line="276" w:lineRule="auto"/>
        <w:rPr>
          <w:color w:val="333333"/>
          <w:shd w:val="clear" w:color="auto" w:fill="FFFFFF"/>
        </w:rPr>
      </w:pPr>
      <w:r>
        <w:rPr>
          <w:color w:val="333333"/>
          <w:shd w:val="clear" w:color="auto" w:fill="FFFFFF"/>
        </w:rPr>
        <w:t>The House Ways and Means Committee h</w:t>
      </w:r>
      <w:r w:rsidR="004B2D84">
        <w:rPr>
          <w:color w:val="333333"/>
          <w:shd w:val="clear" w:color="auto" w:fill="FFFFFF"/>
        </w:rPr>
        <w:t>e</w:t>
      </w:r>
      <w:r>
        <w:rPr>
          <w:color w:val="333333"/>
          <w:shd w:val="clear" w:color="auto" w:fill="FFFFFF"/>
        </w:rPr>
        <w:t xml:space="preserve">ld a hearing on June 12 on “Pathways to Universal Health Coverage.” However, it </w:t>
      </w:r>
      <w:r w:rsidR="005C4CD0">
        <w:rPr>
          <w:color w:val="333333"/>
          <w:shd w:val="clear" w:color="auto" w:fill="FFFFFF"/>
        </w:rPr>
        <w:t xml:space="preserve">is unlikely that </w:t>
      </w:r>
      <w:r>
        <w:rPr>
          <w:color w:val="333333"/>
          <w:shd w:val="clear" w:color="auto" w:fill="FFFFFF"/>
        </w:rPr>
        <w:t xml:space="preserve">this type of legislation </w:t>
      </w:r>
      <w:r w:rsidR="005C4CD0">
        <w:rPr>
          <w:color w:val="333333"/>
          <w:shd w:val="clear" w:color="auto" w:fill="FFFFFF"/>
        </w:rPr>
        <w:t xml:space="preserve">will be enacted in the present Congress. </w:t>
      </w:r>
      <w:r w:rsidR="00611B99">
        <w:rPr>
          <w:color w:val="333333"/>
          <w:shd w:val="clear" w:color="auto" w:fill="FFFFFF"/>
        </w:rPr>
        <w:t xml:space="preserve">We have not taken a position </w:t>
      </w:r>
      <w:r w:rsidR="005C4CD0">
        <w:rPr>
          <w:color w:val="333333"/>
          <w:shd w:val="clear" w:color="auto" w:fill="FFFFFF"/>
        </w:rPr>
        <w:t>on this legislation</w:t>
      </w:r>
      <w:r w:rsidR="00611B99">
        <w:rPr>
          <w:color w:val="333333"/>
          <w:shd w:val="clear" w:color="auto" w:fill="FFFFFF"/>
        </w:rPr>
        <w:t xml:space="preserve">; we are using </w:t>
      </w:r>
      <w:r w:rsidR="005C4CD0">
        <w:rPr>
          <w:color w:val="333333"/>
          <w:shd w:val="clear" w:color="auto" w:fill="FFFFFF"/>
        </w:rPr>
        <w:t>it</w:t>
      </w:r>
      <w:r w:rsidR="00611B99">
        <w:rPr>
          <w:color w:val="333333"/>
          <w:shd w:val="clear" w:color="auto" w:fill="FFFFFF"/>
        </w:rPr>
        <w:t xml:space="preserve"> as an opportunity to engage policymakers in a discussion on coordinating long-term services and supports with the rest of the health care system and better mechanisms for financing</w:t>
      </w:r>
      <w:r w:rsidR="006A1BB3">
        <w:rPr>
          <w:color w:val="333333"/>
          <w:shd w:val="clear" w:color="auto" w:fill="FFFFFF"/>
        </w:rPr>
        <w:t xml:space="preserve"> our sector</w:t>
      </w:r>
      <w:r w:rsidR="00611B99">
        <w:rPr>
          <w:color w:val="333333"/>
          <w:shd w:val="clear" w:color="auto" w:fill="FFFFFF"/>
        </w:rPr>
        <w:t>.</w:t>
      </w:r>
    </w:p>
    <w:bookmarkEnd w:id="3"/>
    <w:p w:rsidR="005D2B92" w:rsidRDefault="005D2B92" w:rsidP="004F6CE4">
      <w:pPr>
        <w:pStyle w:val="NoSpacing"/>
        <w:spacing w:line="276" w:lineRule="auto"/>
        <w:rPr>
          <w:rFonts w:cstheme="minorHAnsi"/>
          <w:b/>
          <w:sz w:val="28"/>
        </w:rPr>
      </w:pPr>
    </w:p>
    <w:p w:rsidR="00095374" w:rsidRPr="004F6CE4" w:rsidRDefault="00095374" w:rsidP="004F6CE4">
      <w:pPr>
        <w:pStyle w:val="NoSpacing"/>
        <w:spacing w:line="276" w:lineRule="auto"/>
        <w:rPr>
          <w:rFonts w:cstheme="minorHAnsi"/>
          <w:b/>
          <w:sz w:val="28"/>
        </w:rPr>
      </w:pPr>
      <w:r w:rsidRPr="004F6CE4">
        <w:rPr>
          <w:rFonts w:cstheme="minorHAnsi"/>
          <w:b/>
          <w:sz w:val="28"/>
        </w:rPr>
        <w:t xml:space="preserve">Nursing home </w:t>
      </w:r>
      <w:r w:rsidR="00347EE6" w:rsidRPr="004F6CE4">
        <w:rPr>
          <w:rFonts w:cstheme="minorHAnsi"/>
          <w:b/>
          <w:sz w:val="28"/>
        </w:rPr>
        <w:t>regulation</w:t>
      </w:r>
      <w:r w:rsidRPr="004F6CE4">
        <w:rPr>
          <w:rFonts w:cstheme="minorHAnsi"/>
          <w:b/>
          <w:sz w:val="28"/>
        </w:rPr>
        <w:t>:</w:t>
      </w:r>
      <w:bookmarkEnd w:id="4"/>
    </w:p>
    <w:p w:rsidR="006E1FFF" w:rsidRPr="004F6CE4" w:rsidRDefault="00095374" w:rsidP="008466AD">
      <w:pPr>
        <w:pStyle w:val="NoSpacing"/>
        <w:spacing w:line="276" w:lineRule="auto"/>
        <w:rPr>
          <w:rFonts w:cstheme="minorHAnsi"/>
        </w:rPr>
      </w:pPr>
      <w:r w:rsidRPr="004F6CE4">
        <w:rPr>
          <w:rFonts w:cstheme="minorHAnsi"/>
          <w:b/>
          <w:i/>
        </w:rPr>
        <w:t>Nurse aide training lock-out</w:t>
      </w:r>
      <w:r w:rsidRPr="004F6CE4">
        <w:rPr>
          <w:rFonts w:cstheme="minorHAnsi"/>
        </w:rPr>
        <w:t xml:space="preserve">: Since the automatic loss of training authority is statutory, we </w:t>
      </w:r>
      <w:r w:rsidR="008466AD">
        <w:rPr>
          <w:rFonts w:cstheme="minorHAnsi"/>
        </w:rPr>
        <w:t xml:space="preserve">have </w:t>
      </w:r>
      <w:r w:rsidR="0076547A" w:rsidRPr="004F6CE4">
        <w:rPr>
          <w:rFonts w:cstheme="minorHAnsi"/>
        </w:rPr>
        <w:t>worked with Rep. Sean Duffy (R-WI)</w:t>
      </w:r>
      <w:r w:rsidR="00A54446" w:rsidRPr="004F6CE4">
        <w:rPr>
          <w:rFonts w:cstheme="minorHAnsi"/>
        </w:rPr>
        <w:t xml:space="preserve"> </w:t>
      </w:r>
      <w:r w:rsidR="0076547A" w:rsidRPr="004F6CE4">
        <w:rPr>
          <w:rFonts w:cstheme="minorHAnsi"/>
        </w:rPr>
        <w:t xml:space="preserve">on </w:t>
      </w:r>
      <w:r w:rsidR="00291896" w:rsidRPr="004F6CE4">
        <w:rPr>
          <w:rFonts w:cstheme="minorHAnsi"/>
        </w:rPr>
        <w:t>the introduction of the Nursing Home Workforce Quality Act</w:t>
      </w:r>
      <w:r w:rsidR="008466AD">
        <w:rPr>
          <w:rFonts w:cstheme="minorHAnsi"/>
        </w:rPr>
        <w:t xml:space="preserve">, H.R. 1265. The bill has bipartisan </w:t>
      </w:r>
      <w:proofErr w:type="spellStart"/>
      <w:r w:rsidR="008466AD">
        <w:rPr>
          <w:rFonts w:cstheme="minorHAnsi"/>
        </w:rPr>
        <w:t>cosponsorship</w:t>
      </w:r>
      <w:proofErr w:type="spellEnd"/>
      <w:r w:rsidR="002E69B7">
        <w:rPr>
          <w:rFonts w:cstheme="minorHAnsi"/>
        </w:rPr>
        <w:t xml:space="preserve"> and w</w:t>
      </w:r>
      <w:r w:rsidR="008466AD">
        <w:rPr>
          <w:rFonts w:cstheme="minorHAnsi"/>
        </w:rPr>
        <w:t xml:space="preserve">e are working to get more House members to sign onto it. </w:t>
      </w:r>
    </w:p>
    <w:p w:rsidR="00AB0DF6" w:rsidRDefault="00AB0DF6" w:rsidP="004F6CE4">
      <w:pPr>
        <w:pStyle w:val="NoSpacing"/>
        <w:spacing w:line="276" w:lineRule="auto"/>
        <w:rPr>
          <w:rFonts w:cstheme="minorHAnsi"/>
          <w:b/>
          <w:i/>
        </w:rPr>
      </w:pPr>
    </w:p>
    <w:p w:rsidR="00113CE2" w:rsidRPr="004F6CE4" w:rsidRDefault="003006AB" w:rsidP="004F6CE4">
      <w:pPr>
        <w:pStyle w:val="NoSpacing"/>
        <w:spacing w:line="276" w:lineRule="auto"/>
        <w:rPr>
          <w:rFonts w:cstheme="minorHAnsi"/>
        </w:rPr>
      </w:pPr>
      <w:r w:rsidRPr="004F6CE4">
        <w:rPr>
          <w:rFonts w:cstheme="minorHAnsi"/>
          <w:b/>
          <w:i/>
        </w:rPr>
        <w:t>Requirements of Participation</w:t>
      </w:r>
      <w:r w:rsidRPr="004F6CE4">
        <w:rPr>
          <w:rFonts w:cstheme="minorHAnsi"/>
        </w:rPr>
        <w:t xml:space="preserve">: The third and final phase of the new requirements of participation go into effect November 28, 2019. </w:t>
      </w:r>
      <w:r w:rsidR="00A71341" w:rsidRPr="004F6CE4">
        <w:rPr>
          <w:rFonts w:cstheme="minorHAnsi"/>
        </w:rPr>
        <w:t>W</w:t>
      </w:r>
      <w:r w:rsidRPr="004F6CE4">
        <w:rPr>
          <w:rFonts w:cstheme="minorHAnsi"/>
        </w:rPr>
        <w:t>e have begun posting tools and holding webinars to help members prepare.</w:t>
      </w:r>
      <w:r w:rsidR="005E0AFD" w:rsidRPr="004F6CE4">
        <w:rPr>
          <w:rFonts w:cstheme="minorHAnsi"/>
        </w:rPr>
        <w:t xml:space="preserve"> </w:t>
      </w:r>
      <w:r w:rsidR="009F1F57">
        <w:rPr>
          <w:rFonts w:cstheme="minorHAnsi"/>
        </w:rPr>
        <w:t xml:space="preserve">These include resources on </w:t>
      </w:r>
      <w:hyperlink r:id="rId9" w:history="1">
        <w:r w:rsidR="009F1F57" w:rsidRPr="009F1F57">
          <w:rPr>
            <w:rStyle w:val="Hyperlink"/>
            <w:rFonts w:cstheme="minorHAnsi"/>
          </w:rPr>
          <w:t>trauma-informed care</w:t>
        </w:r>
      </w:hyperlink>
      <w:r w:rsidR="009F1F57">
        <w:rPr>
          <w:rFonts w:cstheme="minorHAnsi"/>
        </w:rPr>
        <w:t xml:space="preserve"> and a </w:t>
      </w:r>
      <w:hyperlink r:id="rId10" w:history="1">
        <w:r w:rsidR="009F1F57" w:rsidRPr="009F1F57">
          <w:rPr>
            <w:rStyle w:val="Hyperlink"/>
            <w:rFonts w:cstheme="minorHAnsi"/>
          </w:rPr>
          <w:t>staff competency toolkit</w:t>
        </w:r>
      </w:hyperlink>
      <w:r w:rsidR="009F1F57">
        <w:rPr>
          <w:rFonts w:cstheme="minorHAnsi"/>
        </w:rPr>
        <w:t>.</w:t>
      </w:r>
    </w:p>
    <w:p w:rsidR="002E69B7" w:rsidRDefault="002E69B7" w:rsidP="008E70E5">
      <w:pPr>
        <w:pStyle w:val="NormalWeb"/>
        <w:rPr>
          <w:rFonts w:asciiTheme="minorHAnsi" w:hAnsiTheme="minorHAnsi" w:cstheme="minorHAnsi"/>
          <w:b/>
          <w:i/>
          <w:sz w:val="22"/>
          <w:szCs w:val="22"/>
        </w:rPr>
      </w:pPr>
    </w:p>
    <w:p w:rsidR="002E69B7" w:rsidRDefault="002E69B7" w:rsidP="008E70E5">
      <w:pPr>
        <w:pStyle w:val="NormalWeb"/>
        <w:rPr>
          <w:rFonts w:asciiTheme="minorHAnsi" w:hAnsiTheme="minorHAnsi" w:cstheme="minorHAnsi"/>
          <w:b/>
          <w:i/>
          <w:sz w:val="22"/>
          <w:szCs w:val="22"/>
        </w:rPr>
      </w:pPr>
    </w:p>
    <w:p w:rsidR="002E69B7" w:rsidRDefault="002E69B7" w:rsidP="008E70E5">
      <w:pPr>
        <w:pStyle w:val="NormalWeb"/>
        <w:rPr>
          <w:rFonts w:asciiTheme="minorHAnsi" w:hAnsiTheme="minorHAnsi" w:cstheme="minorHAnsi"/>
          <w:b/>
          <w:i/>
          <w:sz w:val="22"/>
          <w:szCs w:val="22"/>
        </w:rPr>
      </w:pPr>
    </w:p>
    <w:p w:rsidR="002E69B7" w:rsidRDefault="002E69B7" w:rsidP="008E70E5">
      <w:pPr>
        <w:pStyle w:val="NormalWeb"/>
        <w:rPr>
          <w:rFonts w:asciiTheme="minorHAnsi" w:hAnsiTheme="minorHAnsi" w:cstheme="minorHAnsi"/>
          <w:b/>
          <w:i/>
          <w:sz w:val="22"/>
          <w:szCs w:val="22"/>
        </w:rPr>
      </w:pPr>
    </w:p>
    <w:p w:rsidR="002E69B7" w:rsidRDefault="002E69B7" w:rsidP="008E70E5">
      <w:pPr>
        <w:pStyle w:val="NormalWeb"/>
        <w:rPr>
          <w:rFonts w:asciiTheme="minorHAnsi" w:hAnsiTheme="minorHAnsi" w:cstheme="minorHAnsi"/>
          <w:b/>
          <w:i/>
          <w:sz w:val="22"/>
          <w:szCs w:val="22"/>
        </w:rPr>
      </w:pPr>
    </w:p>
    <w:p w:rsidR="002E69B7" w:rsidRDefault="002E69B7" w:rsidP="008E70E5">
      <w:pPr>
        <w:pStyle w:val="NormalWeb"/>
        <w:rPr>
          <w:rFonts w:asciiTheme="minorHAnsi" w:hAnsiTheme="minorHAnsi" w:cstheme="minorHAnsi"/>
          <w:b/>
          <w:i/>
          <w:sz w:val="22"/>
          <w:szCs w:val="22"/>
        </w:rPr>
      </w:pPr>
    </w:p>
    <w:p w:rsidR="002E69B7" w:rsidRDefault="002E69B7" w:rsidP="008E70E5">
      <w:pPr>
        <w:pStyle w:val="NormalWeb"/>
        <w:rPr>
          <w:rFonts w:asciiTheme="minorHAnsi" w:hAnsiTheme="minorHAnsi" w:cstheme="minorHAnsi"/>
          <w:b/>
          <w:i/>
          <w:sz w:val="22"/>
          <w:szCs w:val="22"/>
        </w:rPr>
      </w:pPr>
    </w:p>
    <w:p w:rsidR="00F6404D" w:rsidRPr="005E75B1" w:rsidRDefault="005E75B1" w:rsidP="008E70E5">
      <w:pPr>
        <w:pStyle w:val="NormalWeb"/>
        <w:rPr>
          <w:rFonts w:asciiTheme="minorHAnsi" w:hAnsiTheme="minorHAnsi" w:cstheme="minorHAnsi"/>
          <w:sz w:val="22"/>
          <w:szCs w:val="22"/>
        </w:rPr>
      </w:pPr>
      <w:r>
        <w:rPr>
          <w:rFonts w:asciiTheme="minorHAnsi" w:hAnsiTheme="minorHAnsi" w:cstheme="minorHAnsi"/>
          <w:b/>
          <w:i/>
          <w:sz w:val="22"/>
          <w:szCs w:val="22"/>
        </w:rPr>
        <w:t xml:space="preserve">Special Focus Facilities (SFF): </w:t>
      </w:r>
      <w:r>
        <w:rPr>
          <w:rFonts w:asciiTheme="minorHAnsi" w:hAnsiTheme="minorHAnsi" w:cstheme="minorHAnsi"/>
          <w:sz w:val="22"/>
          <w:szCs w:val="22"/>
        </w:rPr>
        <w:t>In response to an inquiry from Pennsylvania Senators Bob Casey (D) and Patrick Toomey (R), CMS has issued a list of 400 nursing homes that for the first time includes homes that have been “candidates” for SFF designation as well as those that have received this designation. Out of the 400 nursing homes, 1</w:t>
      </w:r>
      <w:r w:rsidR="005947C9">
        <w:rPr>
          <w:rFonts w:asciiTheme="minorHAnsi" w:hAnsiTheme="minorHAnsi" w:cstheme="minorHAnsi"/>
          <w:sz w:val="22"/>
          <w:szCs w:val="22"/>
        </w:rPr>
        <w:t>4</w:t>
      </w:r>
      <w:r>
        <w:rPr>
          <w:rFonts w:asciiTheme="minorHAnsi" w:hAnsiTheme="minorHAnsi" w:cstheme="minorHAnsi"/>
          <w:sz w:val="22"/>
          <w:szCs w:val="22"/>
        </w:rPr>
        <w:t xml:space="preserve"> are current LeadingAge members. All of our members </w:t>
      </w:r>
      <w:r w:rsidR="005947C9">
        <w:rPr>
          <w:rFonts w:asciiTheme="minorHAnsi" w:hAnsiTheme="minorHAnsi" w:cstheme="minorHAnsi"/>
          <w:sz w:val="22"/>
          <w:szCs w:val="22"/>
        </w:rPr>
        <w:t xml:space="preserve">on the list </w:t>
      </w:r>
      <w:r>
        <w:rPr>
          <w:rFonts w:asciiTheme="minorHAnsi" w:hAnsiTheme="minorHAnsi" w:cstheme="minorHAnsi"/>
          <w:sz w:val="22"/>
          <w:szCs w:val="22"/>
        </w:rPr>
        <w:t>were in the candidate category.</w:t>
      </w:r>
      <w:r w:rsidR="006720A5">
        <w:rPr>
          <w:rFonts w:asciiTheme="minorHAnsi" w:hAnsiTheme="minorHAnsi" w:cstheme="minorHAnsi"/>
          <w:sz w:val="22"/>
          <w:szCs w:val="22"/>
        </w:rPr>
        <w:t xml:space="preserve"> Our statement:</w:t>
      </w:r>
      <w:r>
        <w:rPr>
          <w:rFonts w:asciiTheme="minorHAnsi" w:hAnsiTheme="minorHAnsi" w:cstheme="minorHAnsi"/>
          <w:sz w:val="22"/>
          <w:szCs w:val="22"/>
        </w:rPr>
        <w:t xml:space="preserve"> </w:t>
      </w:r>
    </w:p>
    <w:p w:rsidR="00F6404D" w:rsidRPr="006720A5" w:rsidRDefault="006720A5" w:rsidP="006720A5">
      <w:pPr>
        <w:pStyle w:val="NormalWeb"/>
        <w:ind w:left="720"/>
        <w:rPr>
          <w:rFonts w:asciiTheme="minorHAnsi" w:hAnsiTheme="minorHAnsi" w:cstheme="minorHAnsi"/>
          <w:sz w:val="22"/>
          <w:szCs w:val="22"/>
        </w:rPr>
      </w:pPr>
      <w:r w:rsidRPr="006720A5">
        <w:rPr>
          <w:rFonts w:asciiTheme="minorHAnsi" w:hAnsiTheme="minorHAnsi" w:cstheme="minorHAnsi"/>
          <w:sz w:val="22"/>
          <w:szCs w:val="22"/>
        </w:rPr>
        <w:t xml:space="preserve">"LeadingAge, whose members include nearly 2000 nonprofit skilled nursing providers nationwide, stands for quality nursing home care," said Katie Smith Sloan, president and CEO, LeadingAge. "Our goal is for every nursing home in the country to be a place where any of us would be willing to live or have a family member stay if we needed the level of care nursing homes provide. We support efforts to increase ease of access to and transparency around information regarding care of older adults; we believe that consumers should have as much information as possible on any provider they are considering for care. It is important to note that some providers on the Special Focus Facilities list do improve </w:t>
      </w:r>
      <w:proofErr w:type="spellStart"/>
      <w:r w:rsidRPr="006720A5">
        <w:rPr>
          <w:rFonts w:asciiTheme="minorHAnsi" w:hAnsiTheme="minorHAnsi" w:cstheme="minorHAnsi"/>
          <w:sz w:val="22"/>
          <w:szCs w:val="22"/>
        </w:rPr>
        <w:t>to</w:t>
      </w:r>
      <w:proofErr w:type="spellEnd"/>
      <w:r w:rsidRPr="006720A5">
        <w:rPr>
          <w:rFonts w:asciiTheme="minorHAnsi" w:hAnsiTheme="minorHAnsi" w:cstheme="minorHAnsi"/>
          <w:sz w:val="22"/>
          <w:szCs w:val="22"/>
        </w:rPr>
        <w:t xml:space="preserve"> such as extent that they are removed and become quality performers. LeadingAge believes the best way to promote improvement is to increase attention on and enforcement of care standards on the nursing homes that need it most -- those that do not meet card standards under OBRA."</w:t>
      </w:r>
    </w:p>
    <w:p w:rsidR="00990AC6" w:rsidRDefault="00043314" w:rsidP="008E70E5">
      <w:pPr>
        <w:pStyle w:val="NormalWeb"/>
        <w:rPr>
          <w:rFonts w:asciiTheme="minorHAnsi" w:hAnsiTheme="minorHAnsi" w:cstheme="minorHAnsi"/>
          <w:i/>
          <w:sz w:val="22"/>
          <w:szCs w:val="22"/>
        </w:rPr>
      </w:pPr>
      <w:r w:rsidRPr="00104D70">
        <w:rPr>
          <w:rFonts w:asciiTheme="minorHAnsi" w:hAnsiTheme="minorHAnsi" w:cstheme="minorHAnsi"/>
          <w:i/>
          <w:sz w:val="22"/>
          <w:szCs w:val="22"/>
        </w:rPr>
        <w:t xml:space="preserve">Hazardous Waste Disposal Rule: </w:t>
      </w:r>
      <w:r w:rsidRPr="00104D70">
        <w:rPr>
          <w:rFonts w:asciiTheme="minorHAnsi" w:hAnsiTheme="minorHAnsi" w:cstheme="minorHAnsi"/>
          <w:color w:val="121316"/>
          <w:sz w:val="22"/>
          <w:szCs w:val="22"/>
        </w:rPr>
        <w:t xml:space="preserve">Effective Aug. 22, 2019, nursing homes and residential providers of hospice services will no longer be allowed to dispose of pharmaceuticals by flushing them down a toilet or sink drain. The prohibition is part of a new rule from the Environmental Protection Agency (EPA). </w:t>
      </w:r>
      <w:r w:rsidR="00E22905">
        <w:rPr>
          <w:rFonts w:asciiTheme="minorHAnsi" w:hAnsiTheme="minorHAnsi" w:cstheme="minorHAnsi"/>
          <w:color w:val="121316"/>
          <w:sz w:val="22"/>
          <w:szCs w:val="22"/>
        </w:rPr>
        <w:t xml:space="preserve">On May 15, </w:t>
      </w:r>
      <w:proofErr w:type="spellStart"/>
      <w:r w:rsidRPr="00104D70">
        <w:rPr>
          <w:rFonts w:asciiTheme="minorHAnsi" w:hAnsiTheme="minorHAnsi" w:cstheme="minorHAnsi"/>
          <w:color w:val="121316"/>
          <w:sz w:val="22"/>
          <w:szCs w:val="22"/>
        </w:rPr>
        <w:t>Pharmerica</w:t>
      </w:r>
      <w:proofErr w:type="spellEnd"/>
      <w:r w:rsidRPr="00104D70">
        <w:rPr>
          <w:rFonts w:asciiTheme="minorHAnsi" w:hAnsiTheme="minorHAnsi" w:cstheme="minorHAnsi"/>
          <w:color w:val="121316"/>
          <w:sz w:val="22"/>
          <w:szCs w:val="22"/>
        </w:rPr>
        <w:t>, a LeadingAge business member, present</w:t>
      </w:r>
      <w:r w:rsidR="00E22905">
        <w:rPr>
          <w:rFonts w:asciiTheme="minorHAnsi" w:hAnsiTheme="minorHAnsi" w:cstheme="minorHAnsi"/>
          <w:color w:val="121316"/>
          <w:sz w:val="22"/>
          <w:szCs w:val="22"/>
        </w:rPr>
        <w:t>ed</w:t>
      </w:r>
      <w:r w:rsidRPr="00104D70">
        <w:rPr>
          <w:rFonts w:asciiTheme="minorHAnsi" w:hAnsiTheme="minorHAnsi" w:cstheme="minorHAnsi"/>
          <w:color w:val="121316"/>
          <w:sz w:val="22"/>
          <w:szCs w:val="22"/>
        </w:rPr>
        <w:t xml:space="preserve"> a </w:t>
      </w:r>
      <w:r w:rsidR="00A1189E">
        <w:rPr>
          <w:rFonts w:asciiTheme="minorHAnsi" w:hAnsiTheme="minorHAnsi" w:cstheme="minorHAnsi"/>
          <w:color w:val="121316"/>
          <w:sz w:val="22"/>
          <w:szCs w:val="22"/>
        </w:rPr>
        <w:t xml:space="preserve">webinar </w:t>
      </w:r>
      <w:r w:rsidRPr="00104D70">
        <w:rPr>
          <w:rFonts w:asciiTheme="minorHAnsi" w:hAnsiTheme="minorHAnsi" w:cstheme="minorHAnsi"/>
          <w:color w:val="121316"/>
          <w:sz w:val="22"/>
          <w:szCs w:val="22"/>
        </w:rPr>
        <w:t>to discuss the impact of this rule</w:t>
      </w:r>
      <w:r w:rsidR="00E22905">
        <w:rPr>
          <w:rFonts w:asciiTheme="minorHAnsi" w:hAnsiTheme="minorHAnsi" w:cstheme="minorHAnsi"/>
          <w:color w:val="121316"/>
          <w:sz w:val="22"/>
          <w:szCs w:val="22"/>
        </w:rPr>
        <w:t xml:space="preserve">; a recording is available on the </w:t>
      </w:r>
      <w:hyperlink r:id="rId11" w:history="1">
        <w:r w:rsidR="00E22905" w:rsidRPr="00A1189E">
          <w:rPr>
            <w:rStyle w:val="Hyperlink"/>
            <w:rFonts w:asciiTheme="minorHAnsi" w:hAnsiTheme="minorHAnsi" w:cstheme="minorHAnsi"/>
            <w:sz w:val="22"/>
            <w:szCs w:val="22"/>
          </w:rPr>
          <w:t>LeadingAge Learning Hub</w:t>
        </w:r>
      </w:hyperlink>
      <w:r w:rsidR="00E22905">
        <w:rPr>
          <w:rFonts w:asciiTheme="minorHAnsi" w:hAnsiTheme="minorHAnsi" w:cstheme="minorHAnsi"/>
          <w:color w:val="121316"/>
          <w:sz w:val="22"/>
          <w:szCs w:val="22"/>
        </w:rPr>
        <w:t>.</w:t>
      </w:r>
      <w:r w:rsidRPr="00104D70">
        <w:rPr>
          <w:rFonts w:asciiTheme="minorHAnsi" w:hAnsiTheme="minorHAnsi" w:cstheme="minorHAnsi"/>
          <w:color w:val="121316"/>
          <w:sz w:val="22"/>
          <w:szCs w:val="22"/>
        </w:rPr>
        <w:t xml:space="preserve"> </w:t>
      </w:r>
    </w:p>
    <w:p w:rsidR="00C1197A" w:rsidRDefault="00C1197A" w:rsidP="0004221D">
      <w:pPr>
        <w:pStyle w:val="NormalWeb"/>
        <w:spacing w:before="0" w:beforeAutospacing="0" w:after="0" w:afterAutospacing="0" w:line="276" w:lineRule="auto"/>
        <w:rPr>
          <w:rFonts w:asciiTheme="minorHAnsi" w:hAnsiTheme="minorHAnsi" w:cstheme="minorHAnsi"/>
          <w:b/>
          <w:sz w:val="28"/>
          <w:szCs w:val="22"/>
        </w:rPr>
      </w:pPr>
      <w:r>
        <w:rPr>
          <w:rFonts w:asciiTheme="minorHAnsi" w:hAnsiTheme="minorHAnsi" w:cstheme="minorHAnsi"/>
          <w:b/>
          <w:sz w:val="28"/>
          <w:szCs w:val="22"/>
        </w:rPr>
        <w:t>Skilled Nursing Facilities: Proposed Fiscal 2020 Medicare Rule</w:t>
      </w:r>
    </w:p>
    <w:p w:rsidR="00C1197A" w:rsidRDefault="00C1197A" w:rsidP="0004221D">
      <w:pPr>
        <w:pStyle w:val="NormalWeb"/>
        <w:spacing w:before="0" w:beforeAutospacing="0" w:after="0" w:afterAutospacing="0" w:line="276" w:lineRule="auto"/>
        <w:rPr>
          <w:rFonts w:asciiTheme="minorHAnsi" w:hAnsiTheme="minorHAnsi" w:cstheme="minorHAnsi"/>
          <w:b/>
          <w:sz w:val="28"/>
          <w:szCs w:val="22"/>
        </w:rPr>
      </w:pPr>
      <w:r>
        <w:rPr>
          <w:rFonts w:asciiTheme="minorHAnsi" w:hAnsiTheme="minorHAnsi" w:cstheme="minorHAnsi"/>
          <w:sz w:val="22"/>
          <w:szCs w:val="22"/>
        </w:rPr>
        <w:t xml:space="preserve">CMS posted the </w:t>
      </w:r>
      <w:hyperlink r:id="rId12" w:history="1">
        <w:r w:rsidRPr="00C1197A">
          <w:rPr>
            <w:rStyle w:val="Hyperlink"/>
            <w:rFonts w:asciiTheme="minorHAnsi" w:hAnsiTheme="minorHAnsi" w:cstheme="minorHAnsi"/>
            <w:sz w:val="22"/>
            <w:szCs w:val="22"/>
          </w:rPr>
          <w:t>proposed rule</w:t>
        </w:r>
      </w:hyperlink>
      <w:r>
        <w:rPr>
          <w:rFonts w:asciiTheme="minorHAnsi" w:hAnsiTheme="minorHAnsi" w:cstheme="minorHAnsi"/>
          <w:sz w:val="22"/>
          <w:szCs w:val="22"/>
        </w:rPr>
        <w:t xml:space="preserve"> late on Friday, April 19, along with a </w:t>
      </w:r>
      <w:hyperlink r:id="rId13" w:history="1">
        <w:r w:rsidRPr="00C1197A">
          <w:rPr>
            <w:rStyle w:val="Hyperlink"/>
            <w:rFonts w:asciiTheme="minorHAnsi" w:hAnsiTheme="minorHAnsi" w:cstheme="minorHAnsi"/>
            <w:sz w:val="22"/>
            <w:szCs w:val="22"/>
          </w:rPr>
          <w:t>fact sheet</w:t>
        </w:r>
      </w:hyperlink>
      <w:r>
        <w:rPr>
          <w:rFonts w:asciiTheme="minorHAnsi" w:hAnsiTheme="minorHAnsi" w:cstheme="minorHAnsi"/>
          <w:sz w:val="22"/>
          <w:szCs w:val="22"/>
        </w:rPr>
        <w:t>. Among many other provisions, the proposed rule, “</w:t>
      </w:r>
      <w:r w:rsidRPr="00C1197A">
        <w:rPr>
          <w:rFonts w:asciiTheme="minorHAnsi" w:hAnsiTheme="minorHAnsi" w:cstheme="minorHAnsi"/>
          <w:sz w:val="22"/>
          <w:szCs w:val="22"/>
        </w:rPr>
        <w:t>projects aggregate payments to SNFs will increase by $887 million, or 2.5 percent, for FY 2020 compared to FY 2019. This estimated increase is attributable to a 3.0 percent market basket increase factor with a 0.5 percentage point reduction for multifactor productivity adjustment.</w:t>
      </w:r>
      <w:r>
        <w:rPr>
          <w:rFonts w:asciiTheme="minorHAnsi" w:hAnsiTheme="minorHAnsi" w:cstheme="minorHAnsi"/>
          <w:sz w:val="22"/>
          <w:szCs w:val="22"/>
        </w:rPr>
        <w:t>”</w:t>
      </w:r>
      <w:r w:rsidRPr="00C1197A">
        <w:rPr>
          <w:rFonts w:asciiTheme="minorHAnsi" w:hAnsiTheme="minorHAnsi" w:cstheme="minorHAnsi"/>
          <w:sz w:val="22"/>
          <w:szCs w:val="22"/>
        </w:rPr>
        <w:t> </w:t>
      </w:r>
      <w:r w:rsidR="001E7E6D">
        <w:rPr>
          <w:rFonts w:asciiTheme="minorHAnsi" w:hAnsiTheme="minorHAnsi" w:cstheme="minorHAnsi"/>
          <w:sz w:val="22"/>
          <w:szCs w:val="22"/>
        </w:rPr>
        <w:t>CMS reminds nursing homes that the Patient Driven Payment Model</w:t>
      </w:r>
      <w:r w:rsidR="00E86D78">
        <w:rPr>
          <w:rFonts w:asciiTheme="minorHAnsi" w:hAnsiTheme="minorHAnsi" w:cstheme="minorHAnsi"/>
          <w:sz w:val="22"/>
          <w:szCs w:val="22"/>
        </w:rPr>
        <w:t xml:space="preserve"> (PDPM)</w:t>
      </w:r>
      <w:r w:rsidR="001E7E6D">
        <w:rPr>
          <w:rFonts w:asciiTheme="minorHAnsi" w:hAnsiTheme="minorHAnsi" w:cstheme="minorHAnsi"/>
          <w:sz w:val="22"/>
          <w:szCs w:val="22"/>
        </w:rPr>
        <w:t xml:space="preserve"> reimbursement system will take effect for fiscal 2020. </w:t>
      </w:r>
      <w:r>
        <w:rPr>
          <w:rFonts w:asciiTheme="minorHAnsi" w:hAnsiTheme="minorHAnsi" w:cstheme="minorHAnsi"/>
          <w:sz w:val="22"/>
          <w:szCs w:val="22"/>
        </w:rPr>
        <w:t xml:space="preserve">LeadingAge </w:t>
      </w:r>
      <w:r w:rsidR="00EA2A27">
        <w:rPr>
          <w:rFonts w:asciiTheme="minorHAnsi" w:hAnsiTheme="minorHAnsi" w:cstheme="minorHAnsi"/>
          <w:sz w:val="22"/>
          <w:szCs w:val="22"/>
        </w:rPr>
        <w:t xml:space="preserve">has drafted </w:t>
      </w:r>
      <w:r w:rsidR="004B2D84">
        <w:rPr>
          <w:rFonts w:asciiTheme="minorHAnsi" w:hAnsiTheme="minorHAnsi" w:cstheme="minorHAnsi"/>
          <w:sz w:val="22"/>
          <w:szCs w:val="22"/>
        </w:rPr>
        <w:t xml:space="preserve">and is circulating </w:t>
      </w:r>
      <w:r>
        <w:rPr>
          <w:rFonts w:asciiTheme="minorHAnsi" w:hAnsiTheme="minorHAnsi" w:cstheme="minorHAnsi"/>
          <w:sz w:val="22"/>
          <w:szCs w:val="22"/>
        </w:rPr>
        <w:t xml:space="preserve">comments on </w:t>
      </w:r>
      <w:r w:rsidR="00EA2A27">
        <w:rPr>
          <w:rFonts w:asciiTheme="minorHAnsi" w:hAnsiTheme="minorHAnsi" w:cstheme="minorHAnsi"/>
          <w:sz w:val="22"/>
          <w:szCs w:val="22"/>
        </w:rPr>
        <w:t>the rule</w:t>
      </w:r>
      <w:r>
        <w:rPr>
          <w:rFonts w:asciiTheme="minorHAnsi" w:hAnsiTheme="minorHAnsi" w:cstheme="minorHAnsi"/>
          <w:sz w:val="22"/>
          <w:szCs w:val="22"/>
        </w:rPr>
        <w:t xml:space="preserve">; the comment deadline is June 18. </w:t>
      </w:r>
      <w:r>
        <w:rPr>
          <w:rFonts w:asciiTheme="minorHAnsi" w:hAnsiTheme="minorHAnsi" w:cstheme="minorHAnsi"/>
          <w:b/>
          <w:sz w:val="28"/>
          <w:szCs w:val="22"/>
        </w:rPr>
        <w:t xml:space="preserve"> </w:t>
      </w:r>
    </w:p>
    <w:p w:rsidR="00C1197A" w:rsidRDefault="00C1197A" w:rsidP="0004221D">
      <w:pPr>
        <w:pStyle w:val="NormalWeb"/>
        <w:spacing w:before="0" w:beforeAutospacing="0" w:after="0" w:afterAutospacing="0" w:line="276" w:lineRule="auto"/>
        <w:rPr>
          <w:rFonts w:asciiTheme="minorHAnsi" w:hAnsiTheme="minorHAnsi" w:cstheme="minorHAnsi"/>
          <w:b/>
          <w:sz w:val="28"/>
          <w:szCs w:val="22"/>
        </w:rPr>
      </w:pPr>
    </w:p>
    <w:p w:rsidR="004B2D84" w:rsidRDefault="002A053E" w:rsidP="0004221D">
      <w:pPr>
        <w:pStyle w:val="NormalWeb"/>
        <w:spacing w:before="0" w:beforeAutospacing="0" w:after="0" w:afterAutospacing="0" w:line="276" w:lineRule="auto"/>
        <w:rPr>
          <w:rFonts w:asciiTheme="minorHAnsi" w:hAnsiTheme="minorHAnsi" w:cstheme="minorHAnsi"/>
          <w:b/>
          <w:sz w:val="28"/>
          <w:szCs w:val="22"/>
        </w:rPr>
      </w:pPr>
      <w:r>
        <w:rPr>
          <w:rFonts w:asciiTheme="minorHAnsi" w:hAnsiTheme="minorHAnsi" w:cstheme="minorHAnsi"/>
          <w:b/>
          <w:sz w:val="28"/>
          <w:szCs w:val="22"/>
        </w:rPr>
        <w:t>Reduction in Regulatory Burden: Patients Over Paperwork</w:t>
      </w:r>
    </w:p>
    <w:p w:rsidR="002A053E" w:rsidRPr="002A053E" w:rsidRDefault="002A053E" w:rsidP="0004221D">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On June 6, CMS issued a </w:t>
      </w:r>
      <w:hyperlink r:id="rId14" w:history="1">
        <w:r w:rsidRPr="002A053E">
          <w:rPr>
            <w:rStyle w:val="Hyperlink"/>
            <w:rFonts w:asciiTheme="minorHAnsi" w:hAnsiTheme="minorHAnsi" w:cstheme="minorHAnsi"/>
            <w:sz w:val="22"/>
            <w:szCs w:val="22"/>
          </w:rPr>
          <w:t>request for information</w:t>
        </w:r>
      </w:hyperlink>
      <w:r>
        <w:rPr>
          <w:rFonts w:asciiTheme="minorHAnsi" w:hAnsiTheme="minorHAnsi" w:cstheme="minorHAnsi"/>
          <w:sz w:val="22"/>
          <w:szCs w:val="22"/>
        </w:rPr>
        <w:t xml:space="preserve"> in an effort to continue the progress the agency says it has made over the last year and a half in reducing federal regulatory burdens on healthcare providers. We are soliciting input from LeadingAge members and will submit recommendations to CMS; the deadline is August 12.</w:t>
      </w:r>
    </w:p>
    <w:p w:rsidR="004B2D84" w:rsidRDefault="004B2D84" w:rsidP="0004221D">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04221D">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04221D">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04221D">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04221D">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04221D">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04221D">
      <w:pPr>
        <w:pStyle w:val="NormalWeb"/>
        <w:spacing w:before="0" w:beforeAutospacing="0" w:after="0" w:afterAutospacing="0" w:line="276" w:lineRule="auto"/>
        <w:rPr>
          <w:rFonts w:asciiTheme="minorHAnsi" w:hAnsiTheme="minorHAnsi" w:cstheme="minorHAnsi"/>
          <w:b/>
          <w:sz w:val="28"/>
          <w:szCs w:val="22"/>
        </w:rPr>
      </w:pPr>
    </w:p>
    <w:p w:rsidR="001E7E6D" w:rsidRDefault="001E7E6D" w:rsidP="0004221D">
      <w:pPr>
        <w:pStyle w:val="NormalWeb"/>
        <w:spacing w:before="0" w:beforeAutospacing="0" w:after="0" w:afterAutospacing="0" w:line="276" w:lineRule="auto"/>
        <w:rPr>
          <w:rFonts w:asciiTheme="minorHAnsi" w:hAnsiTheme="minorHAnsi" w:cstheme="minorHAnsi"/>
          <w:b/>
          <w:sz w:val="28"/>
          <w:szCs w:val="22"/>
        </w:rPr>
      </w:pPr>
      <w:r>
        <w:rPr>
          <w:rFonts w:asciiTheme="minorHAnsi" w:hAnsiTheme="minorHAnsi" w:cstheme="minorHAnsi"/>
          <w:b/>
          <w:sz w:val="28"/>
          <w:szCs w:val="22"/>
        </w:rPr>
        <w:t>Hospice: Proposed Fiscal 2020 Medicare Rule</w:t>
      </w:r>
    </w:p>
    <w:p w:rsidR="001E7E6D" w:rsidRPr="001E7E6D" w:rsidRDefault="001E7E6D" w:rsidP="0004221D">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CMS also issued the </w:t>
      </w:r>
      <w:hyperlink r:id="rId15" w:history="1">
        <w:r w:rsidRPr="001E7E6D">
          <w:rPr>
            <w:rStyle w:val="Hyperlink"/>
            <w:rFonts w:asciiTheme="minorHAnsi" w:hAnsiTheme="minorHAnsi" w:cstheme="minorHAnsi"/>
            <w:sz w:val="22"/>
            <w:szCs w:val="22"/>
          </w:rPr>
          <w:t>proposed rule</w:t>
        </w:r>
      </w:hyperlink>
      <w:r>
        <w:rPr>
          <w:rFonts w:asciiTheme="minorHAnsi" w:hAnsiTheme="minorHAnsi" w:cstheme="minorHAnsi"/>
          <w:sz w:val="22"/>
          <w:szCs w:val="22"/>
        </w:rPr>
        <w:t xml:space="preserve"> for hospice providers on April 19, with a </w:t>
      </w:r>
      <w:hyperlink r:id="rId16" w:history="1">
        <w:r w:rsidRPr="001E7E6D">
          <w:rPr>
            <w:rStyle w:val="Hyperlink"/>
            <w:rFonts w:asciiTheme="minorHAnsi" w:hAnsiTheme="minorHAnsi" w:cstheme="minorHAnsi"/>
            <w:sz w:val="22"/>
            <w:szCs w:val="22"/>
          </w:rPr>
          <w:t>fact sheet</w:t>
        </w:r>
      </w:hyperlink>
      <w:r>
        <w:rPr>
          <w:rFonts w:asciiTheme="minorHAnsi" w:hAnsiTheme="minorHAnsi" w:cstheme="minorHAnsi"/>
          <w:sz w:val="22"/>
          <w:szCs w:val="22"/>
        </w:rPr>
        <w:t>. CMS notes that the proposed rule includes</w:t>
      </w:r>
      <w:r w:rsidRPr="001E7E6D">
        <w:rPr>
          <w:rFonts w:asciiTheme="minorHAnsi" w:hAnsiTheme="minorHAnsi" w:cstheme="minorHAnsi"/>
          <w:sz w:val="22"/>
          <w:szCs w:val="22"/>
        </w:rPr>
        <w:t xml:space="preserve"> </w:t>
      </w:r>
      <w:r>
        <w:rPr>
          <w:rFonts w:asciiTheme="minorHAnsi" w:hAnsiTheme="minorHAnsi" w:cstheme="minorHAnsi"/>
          <w:sz w:val="22"/>
          <w:szCs w:val="22"/>
        </w:rPr>
        <w:t>“</w:t>
      </w:r>
      <w:r w:rsidRPr="001E7E6D">
        <w:rPr>
          <w:rFonts w:asciiTheme="minorHAnsi" w:hAnsiTheme="minorHAnsi" w:cstheme="minorHAnsi"/>
          <w:sz w:val="22"/>
          <w:szCs w:val="22"/>
        </w:rPr>
        <w:t>changes in its inpatient and home care hospice rates to improve payment accuracy within the system. This includes rebasing the CHC, GIP, and IRC per diem payment rates.</w:t>
      </w:r>
      <w:r>
        <w:rPr>
          <w:rFonts w:asciiTheme="minorHAnsi" w:hAnsiTheme="minorHAnsi" w:cstheme="minorHAnsi"/>
          <w:sz w:val="22"/>
          <w:szCs w:val="22"/>
        </w:rPr>
        <w:t>”</w:t>
      </w:r>
      <w:r w:rsidR="00E86D78">
        <w:rPr>
          <w:rFonts w:asciiTheme="minorHAnsi" w:hAnsiTheme="minorHAnsi" w:cstheme="minorHAnsi"/>
          <w:sz w:val="22"/>
          <w:szCs w:val="22"/>
        </w:rPr>
        <w:t xml:space="preserve"> LeadingAge </w:t>
      </w:r>
      <w:r w:rsidR="00EA2A27">
        <w:rPr>
          <w:rFonts w:asciiTheme="minorHAnsi" w:hAnsiTheme="minorHAnsi" w:cstheme="minorHAnsi"/>
          <w:sz w:val="22"/>
          <w:szCs w:val="22"/>
        </w:rPr>
        <w:t>has drafted</w:t>
      </w:r>
      <w:r w:rsidR="00E86D78">
        <w:rPr>
          <w:rFonts w:asciiTheme="minorHAnsi" w:hAnsiTheme="minorHAnsi" w:cstheme="minorHAnsi"/>
          <w:sz w:val="22"/>
          <w:szCs w:val="22"/>
        </w:rPr>
        <w:t xml:space="preserve"> </w:t>
      </w:r>
      <w:r w:rsidR="004B2D84">
        <w:rPr>
          <w:rFonts w:asciiTheme="minorHAnsi" w:hAnsiTheme="minorHAnsi" w:cstheme="minorHAnsi"/>
          <w:sz w:val="22"/>
          <w:szCs w:val="22"/>
        </w:rPr>
        <w:t xml:space="preserve">and is circulating </w:t>
      </w:r>
      <w:r w:rsidR="00E86D78">
        <w:rPr>
          <w:rFonts w:asciiTheme="minorHAnsi" w:hAnsiTheme="minorHAnsi" w:cstheme="minorHAnsi"/>
          <w:sz w:val="22"/>
          <w:szCs w:val="22"/>
        </w:rPr>
        <w:t>comments on the proposed rule.</w:t>
      </w:r>
    </w:p>
    <w:p w:rsidR="006720A5" w:rsidRDefault="006720A5" w:rsidP="0004221D">
      <w:pPr>
        <w:pStyle w:val="NormalWeb"/>
        <w:spacing w:before="0" w:beforeAutospacing="0" w:after="0" w:afterAutospacing="0" w:line="276" w:lineRule="auto"/>
        <w:rPr>
          <w:rFonts w:asciiTheme="minorHAnsi" w:hAnsiTheme="minorHAnsi" w:cstheme="minorHAnsi"/>
          <w:b/>
          <w:sz w:val="28"/>
          <w:szCs w:val="22"/>
        </w:rPr>
      </w:pPr>
    </w:p>
    <w:p w:rsidR="000609BC" w:rsidRDefault="000609BC" w:rsidP="0004221D">
      <w:pPr>
        <w:pStyle w:val="NormalWeb"/>
        <w:spacing w:before="0" w:beforeAutospacing="0" w:after="0" w:afterAutospacing="0" w:line="276" w:lineRule="auto"/>
        <w:rPr>
          <w:rFonts w:asciiTheme="minorHAnsi" w:hAnsiTheme="minorHAnsi" w:cstheme="minorHAnsi"/>
          <w:b/>
          <w:sz w:val="28"/>
          <w:szCs w:val="22"/>
        </w:rPr>
      </w:pPr>
      <w:r>
        <w:rPr>
          <w:rFonts w:asciiTheme="minorHAnsi" w:hAnsiTheme="minorHAnsi" w:cstheme="minorHAnsi"/>
          <w:b/>
          <w:sz w:val="28"/>
          <w:szCs w:val="22"/>
        </w:rPr>
        <w:t>PACE Final Rule for 2020:</w:t>
      </w:r>
    </w:p>
    <w:p w:rsidR="000609BC" w:rsidRPr="000609BC" w:rsidRDefault="000609BC" w:rsidP="0004221D">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On May 28, CMS announced a new </w:t>
      </w:r>
      <w:hyperlink r:id="rId17" w:history="1">
        <w:r w:rsidRPr="000609BC">
          <w:rPr>
            <w:rStyle w:val="Hyperlink"/>
            <w:rFonts w:asciiTheme="minorHAnsi" w:hAnsiTheme="minorHAnsi" w:cstheme="minorHAnsi"/>
            <w:sz w:val="22"/>
            <w:szCs w:val="22"/>
          </w:rPr>
          <w:t>final rule</w:t>
        </w:r>
      </w:hyperlink>
      <w:r>
        <w:rPr>
          <w:rFonts w:asciiTheme="minorHAnsi" w:hAnsiTheme="minorHAnsi" w:cstheme="minorHAnsi"/>
          <w:sz w:val="22"/>
          <w:szCs w:val="22"/>
        </w:rPr>
        <w:t xml:space="preserve"> for Programs of All-Inclusive Care for the Elderly (PACE) programs. The rule increases flexibility for PACE programs and may result in expanded access to PACE for consumers. Our </w:t>
      </w:r>
      <w:hyperlink r:id="rId18" w:history="1">
        <w:r w:rsidRPr="000609BC">
          <w:rPr>
            <w:rStyle w:val="Hyperlink"/>
            <w:rFonts w:asciiTheme="minorHAnsi" w:hAnsiTheme="minorHAnsi" w:cstheme="minorHAnsi"/>
            <w:sz w:val="22"/>
            <w:szCs w:val="22"/>
          </w:rPr>
          <w:t>summary</w:t>
        </w:r>
      </w:hyperlink>
      <w:r>
        <w:rPr>
          <w:rFonts w:asciiTheme="minorHAnsi" w:hAnsiTheme="minorHAnsi" w:cstheme="minorHAnsi"/>
          <w:sz w:val="22"/>
          <w:szCs w:val="22"/>
        </w:rPr>
        <w:t xml:space="preserve"> of the final rule.</w:t>
      </w:r>
      <w:r w:rsidR="00FD50EC">
        <w:rPr>
          <w:rFonts w:asciiTheme="minorHAnsi" w:hAnsiTheme="minorHAnsi" w:cstheme="minorHAnsi"/>
          <w:sz w:val="22"/>
          <w:szCs w:val="22"/>
        </w:rPr>
        <w:t xml:space="preserve"> We briefed members on </w:t>
      </w:r>
      <w:proofErr w:type="gramStart"/>
      <w:r w:rsidR="00FD50EC">
        <w:rPr>
          <w:rFonts w:asciiTheme="minorHAnsi" w:hAnsiTheme="minorHAnsi" w:cstheme="minorHAnsi"/>
          <w:sz w:val="22"/>
          <w:szCs w:val="22"/>
        </w:rPr>
        <w:t>it</w:t>
      </w:r>
      <w:proofErr w:type="gramEnd"/>
      <w:r w:rsidR="00FD50EC">
        <w:rPr>
          <w:rFonts w:asciiTheme="minorHAnsi" w:hAnsiTheme="minorHAnsi" w:cstheme="minorHAnsi"/>
          <w:sz w:val="22"/>
          <w:szCs w:val="22"/>
        </w:rPr>
        <w:t xml:space="preserve"> June 11.</w:t>
      </w:r>
    </w:p>
    <w:p w:rsidR="000609BC" w:rsidRDefault="000609BC" w:rsidP="0004221D">
      <w:pPr>
        <w:pStyle w:val="NormalWeb"/>
        <w:spacing w:before="0" w:beforeAutospacing="0" w:after="0" w:afterAutospacing="0" w:line="276" w:lineRule="auto"/>
        <w:rPr>
          <w:rFonts w:asciiTheme="minorHAnsi" w:hAnsiTheme="minorHAnsi" w:cstheme="minorHAnsi"/>
          <w:b/>
          <w:sz w:val="28"/>
          <w:szCs w:val="22"/>
        </w:rPr>
      </w:pPr>
    </w:p>
    <w:p w:rsidR="0004221D" w:rsidRPr="00791FA4" w:rsidRDefault="0004221D" w:rsidP="0004221D">
      <w:pPr>
        <w:pStyle w:val="NormalWeb"/>
        <w:spacing w:before="0" w:beforeAutospacing="0" w:after="0" w:afterAutospacing="0" w:line="276" w:lineRule="auto"/>
        <w:rPr>
          <w:rFonts w:asciiTheme="minorHAnsi" w:hAnsiTheme="minorHAnsi" w:cstheme="minorHAnsi"/>
          <w:b/>
          <w:sz w:val="28"/>
          <w:szCs w:val="22"/>
        </w:rPr>
      </w:pPr>
      <w:r>
        <w:rPr>
          <w:rFonts w:asciiTheme="minorHAnsi" w:hAnsiTheme="minorHAnsi" w:cstheme="minorHAnsi"/>
          <w:b/>
          <w:sz w:val="28"/>
          <w:szCs w:val="22"/>
        </w:rPr>
        <w:t>Medicare Advantage 2020 call letter:</w:t>
      </w:r>
    </w:p>
    <w:p w:rsidR="004F6CE4" w:rsidRPr="00413979" w:rsidRDefault="0004221D" w:rsidP="0004221D">
      <w:pPr>
        <w:pStyle w:val="NoSpacing"/>
        <w:spacing w:line="276" w:lineRule="auto"/>
        <w:rPr>
          <w:rFonts w:cstheme="minorHAnsi"/>
        </w:rPr>
      </w:pPr>
      <w:r>
        <w:rPr>
          <w:rFonts w:cstheme="minorHAnsi"/>
        </w:rPr>
        <w:t xml:space="preserve">CMS’s final 2020 Medicare Advantage call letter made two key changes in policy: a larger-than-expected rate increase for Advantage plans – 2.53%; and permission for plans to provide non-medical capital and structural improvements to beneficiaries’ homes as part of Special Supplemental Benefits for the Chronically Ill. The letter specifies that these improvements would have to enhance the beneficiary’s health or functioning relative to the beneficiary’s chronic health condition. </w:t>
      </w:r>
      <w:hyperlink r:id="rId19" w:history="1">
        <w:r w:rsidRPr="00B90593">
          <w:rPr>
            <w:rStyle w:val="Hyperlink"/>
            <w:rFonts w:cstheme="minorHAnsi"/>
          </w:rPr>
          <w:t>More information</w:t>
        </w:r>
      </w:hyperlink>
      <w:r>
        <w:rPr>
          <w:rFonts w:cstheme="minorHAnsi"/>
        </w:rPr>
        <w:t>.</w:t>
      </w:r>
    </w:p>
    <w:p w:rsidR="00D11E1B" w:rsidRDefault="00D11E1B" w:rsidP="00A1189E">
      <w:pPr>
        <w:spacing w:before="100" w:beforeAutospacing="1" w:after="100" w:afterAutospacing="1"/>
        <w:rPr>
          <w:rFonts w:eastAsia="Calibri" w:cstheme="minorHAnsi"/>
          <w:b/>
        </w:rPr>
      </w:pPr>
      <w:r>
        <w:rPr>
          <w:rFonts w:eastAsia="Calibri" w:cstheme="minorHAnsi"/>
          <w:b/>
          <w:sz w:val="28"/>
          <w:szCs w:val="28"/>
        </w:rPr>
        <w:t>HUD Data Collection Initiative:</w:t>
      </w:r>
    </w:p>
    <w:p w:rsidR="00D11E1B" w:rsidRPr="00D11E1B" w:rsidRDefault="00D11E1B" w:rsidP="00A1189E">
      <w:pPr>
        <w:spacing w:before="100" w:beforeAutospacing="1" w:after="100" w:afterAutospacing="1"/>
        <w:rPr>
          <w:rFonts w:eastAsia="Calibri" w:cstheme="minorHAnsi"/>
        </w:rPr>
      </w:pPr>
      <w:r>
        <w:rPr>
          <w:rFonts w:eastAsia="Calibri" w:cstheme="minorHAnsi"/>
        </w:rPr>
        <w:t xml:space="preserve">LeadingAge has filed </w:t>
      </w:r>
      <w:hyperlink r:id="rId20" w:history="1">
        <w:r w:rsidRPr="00FD50EC">
          <w:rPr>
            <w:rStyle w:val="Hyperlink"/>
            <w:rFonts w:eastAsia="Calibri" w:cstheme="minorHAnsi"/>
          </w:rPr>
          <w:t>comments</w:t>
        </w:r>
      </w:hyperlink>
      <w:r>
        <w:rPr>
          <w:rFonts w:eastAsia="Calibri" w:cstheme="minorHAnsi"/>
        </w:rPr>
        <w:t xml:space="preserve"> with the Department of Housing and Urban Development (HUD) on the agency’s information collection proposal, </w:t>
      </w:r>
      <w:r>
        <w:t>the National Standards for the Physical Inspection of Real Estate (NSPIRE). Properties’ participation initially would be voluntary. We urged HUD to keep the abilities and resources of smaller properties in mind in considering processes for submitting data and to allow properties to use software they already have for reporting, rather than requiring the installation of any new computer systems.</w:t>
      </w:r>
      <w:r>
        <w:rPr>
          <w:rFonts w:eastAsia="Calibri" w:cstheme="minorHAnsi"/>
        </w:rPr>
        <w:t xml:space="preserve"> </w:t>
      </w:r>
    </w:p>
    <w:p w:rsidR="00741A40" w:rsidRPr="007F07A4" w:rsidRDefault="00CE1072" w:rsidP="00156DB5">
      <w:pPr>
        <w:spacing w:after="0" w:line="276" w:lineRule="auto"/>
        <w:rPr>
          <w:rFonts w:eastAsia="Times New Roman" w:cstheme="minorHAnsi"/>
          <w:sz w:val="28"/>
        </w:rPr>
      </w:pPr>
      <w:r w:rsidRPr="007F07A4">
        <w:rPr>
          <w:rFonts w:eastAsia="Times New Roman" w:cstheme="minorHAnsi"/>
          <w:b/>
          <w:sz w:val="28"/>
        </w:rPr>
        <w:t>Immigration</w:t>
      </w:r>
      <w:r w:rsidR="007F07A4">
        <w:rPr>
          <w:rFonts w:eastAsia="Times New Roman" w:cstheme="minorHAnsi"/>
          <w:b/>
          <w:sz w:val="28"/>
        </w:rPr>
        <w:t>:</w:t>
      </w:r>
      <w:r w:rsidRPr="007F07A4">
        <w:rPr>
          <w:rFonts w:eastAsia="Times New Roman" w:cstheme="minorHAnsi"/>
          <w:sz w:val="28"/>
        </w:rPr>
        <w:t xml:space="preserve"> </w:t>
      </w:r>
    </w:p>
    <w:p w:rsidR="00E67A63" w:rsidRDefault="00E67A63" w:rsidP="004F6CE4">
      <w:pPr>
        <w:pStyle w:val="NoSpacing"/>
        <w:spacing w:line="276" w:lineRule="auto"/>
        <w:rPr>
          <w:rFonts w:eastAsia="Times New Roman" w:cstheme="minorHAnsi"/>
        </w:rPr>
      </w:pPr>
      <w:r w:rsidRPr="004F6CE4">
        <w:rPr>
          <w:rFonts w:eastAsia="Times New Roman" w:cstheme="minorHAnsi"/>
        </w:rPr>
        <w:t xml:space="preserve">We are looking into the possibility of legislation to create a guest worker program that would authorize long-term services and supports providers to sponsor people from other countries to work in the sponsoring organizations for a limited </w:t>
      </w:r>
      <w:proofErr w:type="gramStart"/>
      <w:r w:rsidRPr="004F6CE4">
        <w:rPr>
          <w:rFonts w:eastAsia="Times New Roman" w:cstheme="minorHAnsi"/>
        </w:rPr>
        <w:t>period of time</w:t>
      </w:r>
      <w:proofErr w:type="gramEnd"/>
      <w:r w:rsidRPr="004F6CE4">
        <w:rPr>
          <w:rFonts w:eastAsia="Times New Roman" w:cstheme="minorHAnsi"/>
        </w:rPr>
        <w:t xml:space="preserve">. </w:t>
      </w:r>
    </w:p>
    <w:p w:rsidR="00BD4164" w:rsidRDefault="00BD4164" w:rsidP="004F6CE4">
      <w:pPr>
        <w:pStyle w:val="NoSpacing"/>
        <w:spacing w:line="276" w:lineRule="auto"/>
        <w:rPr>
          <w:rFonts w:eastAsia="Times New Roman" w:cstheme="minorHAnsi"/>
        </w:rPr>
      </w:pPr>
    </w:p>
    <w:p w:rsidR="002E69B7" w:rsidRDefault="002E69B7" w:rsidP="004F6CE4">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4F6CE4">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4F6CE4">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4F6CE4">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4F6CE4">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4F6CE4">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4F6CE4">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4F6CE4">
      <w:pPr>
        <w:pStyle w:val="NormalWeb"/>
        <w:spacing w:before="0" w:beforeAutospacing="0" w:after="0" w:afterAutospacing="0" w:line="276" w:lineRule="auto"/>
        <w:rPr>
          <w:rFonts w:asciiTheme="minorHAnsi" w:hAnsiTheme="minorHAnsi" w:cstheme="minorHAnsi"/>
          <w:b/>
          <w:sz w:val="28"/>
          <w:szCs w:val="22"/>
        </w:rPr>
      </w:pPr>
    </w:p>
    <w:p w:rsidR="002E69B7" w:rsidRDefault="002E69B7" w:rsidP="004F6CE4">
      <w:pPr>
        <w:pStyle w:val="NormalWeb"/>
        <w:spacing w:before="0" w:beforeAutospacing="0" w:after="0" w:afterAutospacing="0" w:line="276" w:lineRule="auto"/>
        <w:rPr>
          <w:rFonts w:asciiTheme="minorHAnsi" w:hAnsiTheme="minorHAnsi" w:cstheme="minorHAnsi"/>
          <w:b/>
          <w:sz w:val="28"/>
          <w:szCs w:val="22"/>
        </w:rPr>
      </w:pPr>
    </w:p>
    <w:p w:rsidR="0004221D" w:rsidRDefault="0004221D" w:rsidP="004F6CE4">
      <w:pPr>
        <w:pStyle w:val="NormalWeb"/>
        <w:spacing w:before="0" w:beforeAutospacing="0" w:after="0" w:afterAutospacing="0" w:line="276" w:lineRule="auto"/>
        <w:rPr>
          <w:rFonts w:asciiTheme="minorHAnsi" w:hAnsiTheme="minorHAnsi" w:cstheme="minorHAnsi"/>
          <w:b/>
          <w:sz w:val="28"/>
          <w:szCs w:val="22"/>
        </w:rPr>
      </w:pPr>
      <w:r>
        <w:rPr>
          <w:rFonts w:asciiTheme="minorHAnsi" w:hAnsiTheme="minorHAnsi" w:cstheme="minorHAnsi"/>
          <w:b/>
          <w:sz w:val="28"/>
          <w:szCs w:val="22"/>
        </w:rPr>
        <w:t>Tools and resources:</w:t>
      </w:r>
    </w:p>
    <w:p w:rsidR="0004221D" w:rsidRDefault="0004221D" w:rsidP="004F6CE4">
      <w:pPr>
        <w:pStyle w:val="NormalWeb"/>
        <w:spacing w:before="0" w:beforeAutospacing="0" w:after="0" w:afterAutospacing="0" w:line="276" w:lineRule="auto"/>
        <w:rPr>
          <w:rFonts w:asciiTheme="minorHAnsi" w:hAnsiTheme="minorHAnsi" w:cstheme="minorHAnsi"/>
          <w:b/>
          <w:sz w:val="28"/>
          <w:szCs w:val="22"/>
        </w:rPr>
      </w:pPr>
    </w:p>
    <w:p w:rsidR="00104D70" w:rsidRPr="004F6CE4" w:rsidRDefault="00104D70" w:rsidP="00104D70">
      <w:pPr>
        <w:pStyle w:val="NoSpacing"/>
        <w:spacing w:line="276" w:lineRule="auto"/>
        <w:rPr>
          <w:rFonts w:cstheme="minorHAnsi"/>
          <w:b/>
        </w:rPr>
      </w:pPr>
      <w:r w:rsidRPr="004F6CE4">
        <w:rPr>
          <w:rFonts w:cstheme="minorHAnsi"/>
          <w:b/>
          <w:sz w:val="28"/>
        </w:rPr>
        <w:t>Medicare Patient-Driven Payment Model (PDPM)</w:t>
      </w:r>
      <w:r>
        <w:rPr>
          <w:rFonts w:cstheme="minorHAnsi"/>
          <w:b/>
          <w:sz w:val="28"/>
        </w:rPr>
        <w:t>:</w:t>
      </w:r>
    </w:p>
    <w:p w:rsidR="00104D70" w:rsidRPr="004F6CE4" w:rsidRDefault="00104D70" w:rsidP="00104D70">
      <w:pPr>
        <w:pStyle w:val="NoSpacing"/>
        <w:spacing w:line="276" w:lineRule="auto"/>
        <w:rPr>
          <w:rFonts w:cstheme="minorHAnsi"/>
        </w:rPr>
      </w:pPr>
      <w:r w:rsidRPr="004F6CE4">
        <w:rPr>
          <w:rFonts w:cstheme="minorHAnsi"/>
        </w:rPr>
        <w:t xml:space="preserve">The new Medicare payment system for skilled nursing facilities will go into effect on October 1, 2019. To prepare, SNFs will need to learn the new minimum data set (MDS) requirements and coding according to the ICD-10 system. We are making </w:t>
      </w:r>
      <w:r>
        <w:rPr>
          <w:rStyle w:val="Hyperlink"/>
          <w:rFonts w:cstheme="minorHAnsi"/>
          <w:color w:val="auto"/>
          <w:u w:val="none"/>
        </w:rPr>
        <w:t xml:space="preserve">tools and information, including </w:t>
      </w:r>
      <w:r w:rsidR="004B2D84">
        <w:rPr>
          <w:rStyle w:val="Hyperlink"/>
          <w:rFonts w:cstheme="minorHAnsi"/>
          <w:color w:val="auto"/>
          <w:u w:val="none"/>
        </w:rPr>
        <w:t xml:space="preserve">a </w:t>
      </w:r>
      <w:hyperlink r:id="rId21" w:history="1">
        <w:r w:rsidR="004B2D84" w:rsidRPr="004B2D84">
          <w:rPr>
            <w:rStyle w:val="Hyperlink"/>
            <w:rFonts w:cstheme="minorHAnsi"/>
          </w:rPr>
          <w:t>webinar</w:t>
        </w:r>
      </w:hyperlink>
      <w:r>
        <w:rPr>
          <w:rStyle w:val="Hyperlink"/>
          <w:rFonts w:cstheme="minorHAnsi"/>
          <w:color w:val="auto"/>
          <w:u w:val="none"/>
        </w:rPr>
        <w:t>,</w:t>
      </w:r>
      <w:r w:rsidRPr="004F6CE4">
        <w:rPr>
          <w:rFonts w:cstheme="minorHAnsi"/>
        </w:rPr>
        <w:t xml:space="preserve"> available to members to help them prepare. </w:t>
      </w:r>
    </w:p>
    <w:p w:rsidR="00D11E1B" w:rsidRDefault="00D11E1B" w:rsidP="004F6CE4">
      <w:pPr>
        <w:pStyle w:val="NormalWeb"/>
        <w:spacing w:before="0" w:beforeAutospacing="0" w:after="0" w:afterAutospacing="0" w:line="276" w:lineRule="auto"/>
        <w:rPr>
          <w:rFonts w:asciiTheme="minorHAnsi" w:hAnsiTheme="minorHAnsi" w:cstheme="minorHAnsi"/>
          <w:b/>
          <w:sz w:val="28"/>
          <w:szCs w:val="22"/>
        </w:rPr>
      </w:pPr>
    </w:p>
    <w:p w:rsidR="00281012" w:rsidRDefault="00634E38" w:rsidP="004F6CE4">
      <w:pPr>
        <w:pStyle w:val="NormalWeb"/>
        <w:spacing w:before="0" w:beforeAutospacing="0" w:after="0" w:afterAutospacing="0" w:line="276" w:lineRule="auto"/>
        <w:rPr>
          <w:rFonts w:asciiTheme="minorHAnsi" w:hAnsiTheme="minorHAnsi" w:cstheme="minorHAnsi"/>
          <w:b/>
          <w:sz w:val="28"/>
          <w:szCs w:val="22"/>
        </w:rPr>
      </w:pPr>
      <w:r>
        <w:rPr>
          <w:rFonts w:asciiTheme="minorHAnsi" w:hAnsiTheme="minorHAnsi" w:cstheme="minorHAnsi"/>
          <w:b/>
          <w:sz w:val="28"/>
          <w:szCs w:val="22"/>
        </w:rPr>
        <w:t>Connecting Generations in Senior Housing</w:t>
      </w:r>
    </w:p>
    <w:p w:rsidR="00281012" w:rsidRPr="00634E38" w:rsidRDefault="00634E38" w:rsidP="004F6CE4">
      <w:pPr>
        <w:pStyle w:val="NormalWeb"/>
        <w:spacing w:before="0" w:beforeAutospacing="0" w:after="0" w:afterAutospacing="0" w:line="276" w:lineRule="auto"/>
        <w:rPr>
          <w:rFonts w:asciiTheme="minorHAnsi" w:hAnsiTheme="minorHAnsi" w:cstheme="minorHAnsi"/>
          <w:sz w:val="22"/>
          <w:szCs w:val="22"/>
        </w:rPr>
      </w:pPr>
      <w:r w:rsidRPr="00634E38">
        <w:rPr>
          <w:rFonts w:asciiTheme="minorHAnsi" w:hAnsiTheme="minorHAnsi" w:cstheme="minorHAnsi"/>
          <w:bCs/>
          <w:sz w:val="22"/>
          <w:szCs w:val="22"/>
        </w:rPr>
        <w:t xml:space="preserve">A new </w:t>
      </w:r>
      <w:hyperlink r:id="rId22" w:history="1">
        <w:r w:rsidRPr="00634E38">
          <w:rPr>
            <w:rStyle w:val="Hyperlink"/>
            <w:rFonts w:asciiTheme="minorHAnsi" w:hAnsiTheme="minorHAnsi" w:cstheme="minorHAnsi"/>
            <w:bCs/>
            <w:sz w:val="22"/>
            <w:szCs w:val="22"/>
          </w:rPr>
          <w:t>toolkit</w:t>
        </w:r>
      </w:hyperlink>
      <w:r w:rsidRPr="00634E38">
        <w:rPr>
          <w:rFonts w:asciiTheme="minorHAnsi" w:hAnsiTheme="minorHAnsi" w:cstheme="minorHAnsi"/>
          <w:bCs/>
          <w:sz w:val="22"/>
          <w:szCs w:val="22"/>
        </w:rPr>
        <w:t xml:space="preserve"> from the LeadingAge LTSS Center @UMass Boston and Generations United provides practical information, guidance, and templates to help senior housing providers, and other organizations serving older adults, implement high-quality intergenerational programs that will benefit elders and young people in their communities.</w:t>
      </w:r>
    </w:p>
    <w:p w:rsidR="00281012" w:rsidRDefault="00281012" w:rsidP="004F6CE4">
      <w:pPr>
        <w:pStyle w:val="NormalWeb"/>
        <w:spacing w:before="0" w:beforeAutospacing="0" w:after="0" w:afterAutospacing="0" w:line="276" w:lineRule="auto"/>
        <w:rPr>
          <w:rFonts w:asciiTheme="minorHAnsi" w:hAnsiTheme="minorHAnsi" w:cstheme="minorHAnsi"/>
          <w:b/>
          <w:sz w:val="28"/>
          <w:szCs w:val="22"/>
        </w:rPr>
      </w:pPr>
    </w:p>
    <w:p w:rsidR="00A67CEC" w:rsidRPr="007F07A4" w:rsidRDefault="00A67CEC" w:rsidP="004F6CE4">
      <w:pPr>
        <w:pStyle w:val="NormalWeb"/>
        <w:spacing w:before="0" w:beforeAutospacing="0" w:after="0" w:afterAutospacing="0" w:line="276" w:lineRule="auto"/>
        <w:rPr>
          <w:rFonts w:asciiTheme="minorHAnsi" w:hAnsiTheme="minorHAnsi" w:cstheme="minorHAnsi"/>
          <w:b/>
          <w:sz w:val="28"/>
          <w:szCs w:val="22"/>
        </w:rPr>
      </w:pPr>
      <w:r w:rsidRPr="007F07A4">
        <w:rPr>
          <w:rFonts w:asciiTheme="minorHAnsi" w:hAnsiTheme="minorHAnsi" w:cstheme="minorHAnsi"/>
          <w:b/>
          <w:sz w:val="28"/>
          <w:szCs w:val="22"/>
        </w:rPr>
        <w:t>Regulatory tracker</w:t>
      </w:r>
      <w:r w:rsidR="007F07A4">
        <w:rPr>
          <w:rFonts w:asciiTheme="minorHAnsi" w:hAnsiTheme="minorHAnsi" w:cstheme="minorHAnsi"/>
          <w:b/>
          <w:sz w:val="28"/>
          <w:szCs w:val="22"/>
        </w:rPr>
        <w:t>:</w:t>
      </w:r>
    </w:p>
    <w:p w:rsidR="00AB0DF6" w:rsidRDefault="00934429" w:rsidP="004F6CE4">
      <w:pPr>
        <w:pStyle w:val="NormalWeb"/>
        <w:spacing w:before="0" w:beforeAutospacing="0" w:after="0" w:afterAutospacing="0" w:line="276" w:lineRule="auto"/>
        <w:rPr>
          <w:rFonts w:asciiTheme="minorHAnsi" w:eastAsia="Calibri" w:hAnsiTheme="minorHAnsi" w:cstheme="minorHAnsi"/>
          <w:color w:val="121316"/>
          <w:sz w:val="22"/>
          <w:shd w:val="clear" w:color="auto" w:fill="FFFFFF"/>
        </w:rPr>
      </w:pPr>
      <w:r>
        <w:rPr>
          <w:rFonts w:asciiTheme="minorHAnsi" w:eastAsia="Calibri" w:hAnsiTheme="minorHAnsi" w:cstheme="minorHAnsi"/>
          <w:color w:val="222222"/>
          <w:sz w:val="22"/>
        </w:rPr>
        <w:t>O</w:t>
      </w:r>
      <w:r w:rsidR="00A1600B" w:rsidRPr="003201E2">
        <w:rPr>
          <w:rFonts w:asciiTheme="minorHAnsi" w:eastAsia="Calibri" w:hAnsiTheme="minorHAnsi" w:cstheme="minorHAnsi"/>
          <w:color w:val="222222"/>
          <w:sz w:val="22"/>
        </w:rPr>
        <w:t xml:space="preserve">ur </w:t>
      </w:r>
      <w:hyperlink r:id="rId23" w:history="1">
        <w:r w:rsidR="00032C03" w:rsidRPr="003201E2">
          <w:rPr>
            <w:rFonts w:asciiTheme="minorHAnsi" w:eastAsia="Calibri" w:hAnsiTheme="minorHAnsi" w:cstheme="minorHAnsi"/>
            <w:color w:val="0563C1"/>
            <w:sz w:val="22"/>
            <w:u w:val="single"/>
          </w:rPr>
          <w:t>Regulatory Roundup 2.0,</w:t>
        </w:r>
      </w:hyperlink>
      <w:r w:rsidR="00032C03" w:rsidRPr="003201E2">
        <w:rPr>
          <w:rFonts w:asciiTheme="minorHAnsi" w:eastAsia="Calibri" w:hAnsiTheme="minorHAnsi" w:cstheme="minorHAnsi"/>
          <w:color w:val="222222"/>
          <w:sz w:val="22"/>
        </w:rPr>
        <w:t xml:space="preserve"> </w:t>
      </w:r>
      <w:r>
        <w:rPr>
          <w:rFonts w:asciiTheme="minorHAnsi" w:eastAsia="Calibri" w:hAnsiTheme="minorHAnsi" w:cstheme="minorHAnsi"/>
          <w:color w:val="222222"/>
          <w:sz w:val="22"/>
        </w:rPr>
        <w:t xml:space="preserve">is </w:t>
      </w:r>
      <w:r w:rsidR="00032C03" w:rsidRPr="003201E2">
        <w:rPr>
          <w:rFonts w:asciiTheme="minorHAnsi" w:eastAsia="Calibri" w:hAnsiTheme="minorHAnsi" w:cstheme="minorHAnsi"/>
          <w:color w:val="222222"/>
          <w:sz w:val="22"/>
        </w:rPr>
        <w:t>a quick and easy tracker to help</w:t>
      </w:r>
      <w:r w:rsidR="00A1600B" w:rsidRPr="003201E2">
        <w:rPr>
          <w:rFonts w:asciiTheme="minorHAnsi" w:eastAsia="Calibri" w:hAnsiTheme="minorHAnsi" w:cstheme="minorHAnsi"/>
          <w:color w:val="222222"/>
          <w:sz w:val="22"/>
        </w:rPr>
        <w:t xml:space="preserve"> members</w:t>
      </w:r>
      <w:r w:rsidR="00032C03" w:rsidRPr="003201E2">
        <w:rPr>
          <w:rFonts w:asciiTheme="minorHAnsi" w:eastAsia="Calibri" w:hAnsiTheme="minorHAnsi" w:cstheme="minorHAnsi"/>
          <w:color w:val="222222"/>
          <w:sz w:val="22"/>
        </w:rPr>
        <w:t> find pertinent rules and federal regulations</w:t>
      </w:r>
      <w:r w:rsidR="00A1600B" w:rsidRPr="003201E2">
        <w:rPr>
          <w:rFonts w:asciiTheme="minorHAnsi" w:eastAsia="Calibri" w:hAnsiTheme="minorHAnsi" w:cstheme="minorHAnsi"/>
          <w:color w:val="222222"/>
          <w:sz w:val="22"/>
        </w:rPr>
        <w:t xml:space="preserve">, with </w:t>
      </w:r>
      <w:r w:rsidR="00032C03" w:rsidRPr="003201E2">
        <w:rPr>
          <w:rFonts w:asciiTheme="minorHAnsi" w:eastAsia="Calibri" w:hAnsiTheme="minorHAnsi" w:cstheme="minorHAnsi"/>
          <w:color w:val="222222"/>
          <w:sz w:val="22"/>
        </w:rPr>
        <w:t>timelines for</w:t>
      </w:r>
      <w:r w:rsidR="00A1600B" w:rsidRPr="003201E2">
        <w:rPr>
          <w:rFonts w:asciiTheme="minorHAnsi" w:eastAsia="Calibri" w:hAnsiTheme="minorHAnsi" w:cstheme="minorHAnsi"/>
          <w:color w:val="222222"/>
          <w:sz w:val="22"/>
        </w:rPr>
        <w:t xml:space="preserve"> submitting</w:t>
      </w:r>
      <w:r w:rsidR="00032C03" w:rsidRPr="003201E2">
        <w:rPr>
          <w:rFonts w:asciiTheme="minorHAnsi" w:eastAsia="Calibri" w:hAnsiTheme="minorHAnsi" w:cstheme="minorHAnsi"/>
          <w:color w:val="222222"/>
          <w:sz w:val="22"/>
        </w:rPr>
        <w:t xml:space="preserve"> comments</w:t>
      </w:r>
      <w:r w:rsidR="00A1600B" w:rsidRPr="003201E2">
        <w:rPr>
          <w:rFonts w:asciiTheme="minorHAnsi" w:eastAsia="Calibri" w:hAnsiTheme="minorHAnsi" w:cstheme="minorHAnsi"/>
          <w:color w:val="222222"/>
          <w:sz w:val="22"/>
        </w:rPr>
        <w:t xml:space="preserve"> and links to any </w:t>
      </w:r>
      <w:r w:rsidR="00032C03" w:rsidRPr="003201E2">
        <w:rPr>
          <w:rFonts w:asciiTheme="minorHAnsi" w:eastAsia="Calibri" w:hAnsiTheme="minorHAnsi" w:cstheme="minorHAnsi"/>
          <w:color w:val="121316"/>
          <w:sz w:val="22"/>
          <w:shd w:val="clear" w:color="auto" w:fill="FFFFFF"/>
        </w:rPr>
        <w:t>comments</w:t>
      </w:r>
      <w:r w:rsidR="00A1600B" w:rsidRPr="003201E2">
        <w:rPr>
          <w:rFonts w:asciiTheme="minorHAnsi" w:eastAsia="Calibri" w:hAnsiTheme="minorHAnsi" w:cstheme="minorHAnsi"/>
          <w:color w:val="121316"/>
          <w:sz w:val="22"/>
          <w:shd w:val="clear" w:color="auto" w:fill="FFFFFF"/>
        </w:rPr>
        <w:t xml:space="preserve"> LeadingAge may have submitted. </w:t>
      </w:r>
    </w:p>
    <w:p w:rsidR="000312C0" w:rsidRDefault="000312C0" w:rsidP="004F6CE4">
      <w:pPr>
        <w:pStyle w:val="NormalWeb"/>
        <w:spacing w:before="0" w:beforeAutospacing="0" w:after="0" w:afterAutospacing="0" w:line="276" w:lineRule="auto"/>
        <w:rPr>
          <w:rFonts w:asciiTheme="minorHAnsi" w:hAnsiTheme="minorHAnsi" w:cstheme="minorHAnsi"/>
          <w:b/>
          <w:sz w:val="28"/>
          <w:szCs w:val="22"/>
        </w:rPr>
      </w:pPr>
    </w:p>
    <w:p w:rsidR="0004221D" w:rsidRDefault="0004221D" w:rsidP="004F6CE4">
      <w:pPr>
        <w:pStyle w:val="NormalWeb"/>
        <w:spacing w:before="0" w:beforeAutospacing="0" w:after="0" w:afterAutospacing="0" w:line="276" w:lineRule="auto"/>
        <w:rPr>
          <w:rFonts w:asciiTheme="minorHAnsi" w:hAnsiTheme="minorHAnsi" w:cstheme="minorHAnsi"/>
          <w:b/>
          <w:sz w:val="28"/>
          <w:szCs w:val="22"/>
        </w:rPr>
      </w:pPr>
      <w:r>
        <w:rPr>
          <w:rFonts w:asciiTheme="minorHAnsi" w:hAnsiTheme="minorHAnsi" w:cstheme="minorHAnsi"/>
          <w:b/>
          <w:sz w:val="28"/>
          <w:szCs w:val="22"/>
        </w:rPr>
        <w:t>Life Safety/Emergency Preparedness newsletter:</w:t>
      </w:r>
    </w:p>
    <w:p w:rsidR="0004221D" w:rsidRPr="00104D70" w:rsidRDefault="0004221D" w:rsidP="004F6CE4">
      <w:pPr>
        <w:pStyle w:val="NormalWeb"/>
        <w:spacing w:before="0" w:beforeAutospacing="0" w:after="0" w:afterAutospacing="0" w:line="276" w:lineRule="auto"/>
        <w:rPr>
          <w:rFonts w:asciiTheme="minorHAnsi" w:hAnsiTheme="minorHAnsi" w:cstheme="minorHAnsi"/>
          <w:sz w:val="22"/>
          <w:szCs w:val="22"/>
        </w:rPr>
      </w:pPr>
      <w:r w:rsidRPr="00104D70">
        <w:rPr>
          <w:rFonts w:asciiTheme="minorHAnsi" w:hAnsiTheme="minorHAnsi" w:cstheme="minorHAnsi"/>
          <w:sz w:val="22"/>
          <w:szCs w:val="22"/>
        </w:rPr>
        <w:t xml:space="preserve">Our new monthly </w:t>
      </w:r>
      <w:hyperlink r:id="rId24" w:history="1">
        <w:r w:rsidRPr="00104D70">
          <w:rPr>
            <w:rStyle w:val="Hyperlink"/>
            <w:rFonts w:asciiTheme="minorHAnsi" w:hAnsiTheme="minorHAnsi" w:cstheme="minorHAnsi"/>
            <w:sz w:val="22"/>
            <w:szCs w:val="22"/>
          </w:rPr>
          <w:t>newsletter</w:t>
        </w:r>
      </w:hyperlink>
      <w:r w:rsidRPr="00104D70">
        <w:rPr>
          <w:rFonts w:asciiTheme="minorHAnsi" w:hAnsiTheme="minorHAnsi" w:cstheme="minorHAnsi"/>
          <w:sz w:val="22"/>
          <w:szCs w:val="22"/>
        </w:rPr>
        <w:t xml:space="preserve"> will focus on nursing home compliance with emergency preparation and life safety requirements.</w:t>
      </w:r>
    </w:p>
    <w:p w:rsidR="000312C0" w:rsidRDefault="000312C0" w:rsidP="004F6CE4">
      <w:pPr>
        <w:pStyle w:val="NormalWeb"/>
        <w:spacing w:before="0" w:beforeAutospacing="0" w:after="0" w:afterAutospacing="0" w:line="276" w:lineRule="auto"/>
        <w:rPr>
          <w:rFonts w:asciiTheme="minorHAnsi" w:hAnsiTheme="minorHAnsi" w:cstheme="minorHAnsi"/>
          <w:b/>
          <w:sz w:val="28"/>
          <w:szCs w:val="22"/>
        </w:rPr>
      </w:pPr>
    </w:p>
    <w:p w:rsidR="00111A64" w:rsidRPr="007F07A4" w:rsidRDefault="0055115D" w:rsidP="004F6CE4">
      <w:pPr>
        <w:pStyle w:val="NormalWeb"/>
        <w:spacing w:before="0" w:beforeAutospacing="0" w:after="0" w:afterAutospacing="0" w:line="276" w:lineRule="auto"/>
        <w:rPr>
          <w:rFonts w:asciiTheme="minorHAnsi" w:hAnsiTheme="minorHAnsi" w:cstheme="minorHAnsi"/>
          <w:b/>
          <w:sz w:val="28"/>
          <w:szCs w:val="22"/>
        </w:rPr>
      </w:pPr>
      <w:r>
        <w:rPr>
          <w:rFonts w:asciiTheme="minorHAnsi" w:hAnsiTheme="minorHAnsi" w:cstheme="minorHAnsi"/>
          <w:b/>
          <w:sz w:val="28"/>
          <w:szCs w:val="22"/>
        </w:rPr>
        <w:t>Gu</w:t>
      </w:r>
      <w:r w:rsidR="00111A64" w:rsidRPr="007F07A4">
        <w:rPr>
          <w:rFonts w:asciiTheme="minorHAnsi" w:hAnsiTheme="minorHAnsi" w:cstheme="minorHAnsi"/>
          <w:b/>
          <w:sz w:val="28"/>
          <w:szCs w:val="22"/>
        </w:rPr>
        <w:t>idance on marijuana and weapons policies</w:t>
      </w:r>
      <w:r w:rsidR="007F07A4">
        <w:rPr>
          <w:rFonts w:asciiTheme="minorHAnsi" w:hAnsiTheme="minorHAnsi" w:cstheme="minorHAnsi"/>
          <w:b/>
          <w:sz w:val="28"/>
          <w:szCs w:val="22"/>
        </w:rPr>
        <w:t>:</w:t>
      </w:r>
    </w:p>
    <w:p w:rsidR="00111A64" w:rsidRPr="004F6CE4" w:rsidRDefault="00111A64" w:rsidP="004F6CE4">
      <w:pPr>
        <w:pStyle w:val="NormalWeb"/>
        <w:spacing w:before="0" w:beforeAutospacing="0" w:after="0" w:afterAutospacing="0" w:line="276" w:lineRule="auto"/>
        <w:rPr>
          <w:rFonts w:asciiTheme="minorHAnsi" w:hAnsiTheme="minorHAnsi" w:cstheme="minorHAnsi"/>
          <w:sz w:val="22"/>
          <w:szCs w:val="22"/>
        </w:rPr>
      </w:pPr>
      <w:r w:rsidRPr="004F6CE4">
        <w:rPr>
          <w:rFonts w:asciiTheme="minorHAnsi" w:hAnsiTheme="minorHAnsi" w:cstheme="minorHAnsi"/>
          <w:sz w:val="22"/>
          <w:szCs w:val="22"/>
        </w:rPr>
        <w:t xml:space="preserve">We have published guidance for members on </w:t>
      </w:r>
      <w:hyperlink r:id="rId25" w:history="1">
        <w:r w:rsidRPr="004F6CE4">
          <w:rPr>
            <w:rStyle w:val="Hyperlink"/>
            <w:rFonts w:asciiTheme="minorHAnsi" w:hAnsiTheme="minorHAnsi" w:cstheme="minorHAnsi"/>
            <w:sz w:val="22"/>
            <w:szCs w:val="22"/>
          </w:rPr>
          <w:t>medical marijuana</w:t>
        </w:r>
      </w:hyperlink>
      <w:r w:rsidRPr="004F6CE4">
        <w:rPr>
          <w:rFonts w:asciiTheme="minorHAnsi" w:hAnsiTheme="minorHAnsi" w:cstheme="minorHAnsi"/>
          <w:sz w:val="22"/>
          <w:szCs w:val="22"/>
        </w:rPr>
        <w:t xml:space="preserve"> and </w:t>
      </w:r>
      <w:hyperlink r:id="rId26" w:history="1">
        <w:r w:rsidRPr="004F6CE4">
          <w:rPr>
            <w:rStyle w:val="Hyperlink"/>
            <w:rFonts w:asciiTheme="minorHAnsi" w:hAnsiTheme="minorHAnsi" w:cstheme="minorHAnsi"/>
            <w:sz w:val="22"/>
            <w:szCs w:val="22"/>
          </w:rPr>
          <w:t>weapons</w:t>
        </w:r>
      </w:hyperlink>
      <w:r w:rsidRPr="004F6CE4">
        <w:rPr>
          <w:rFonts w:asciiTheme="minorHAnsi" w:hAnsiTheme="minorHAnsi" w:cstheme="minorHAnsi"/>
          <w:sz w:val="22"/>
          <w:szCs w:val="22"/>
        </w:rPr>
        <w:t xml:space="preserve"> policies in aging services organizations.</w:t>
      </w:r>
    </w:p>
    <w:p w:rsidR="007F07A4" w:rsidRDefault="007F07A4" w:rsidP="004F6CE4">
      <w:pPr>
        <w:pStyle w:val="NormalWeb"/>
        <w:spacing w:before="0" w:beforeAutospacing="0" w:after="0" w:afterAutospacing="0" w:line="276" w:lineRule="auto"/>
        <w:rPr>
          <w:rFonts w:asciiTheme="minorHAnsi" w:hAnsiTheme="minorHAnsi" w:cstheme="minorHAnsi"/>
          <w:b/>
          <w:sz w:val="22"/>
          <w:szCs w:val="22"/>
        </w:rPr>
      </w:pPr>
    </w:p>
    <w:p w:rsidR="00111A64" w:rsidRPr="007F07A4" w:rsidRDefault="00934429" w:rsidP="004F6CE4">
      <w:pPr>
        <w:pStyle w:val="NormalWeb"/>
        <w:spacing w:before="0" w:beforeAutospacing="0" w:after="0" w:afterAutospacing="0" w:line="276" w:lineRule="auto"/>
        <w:rPr>
          <w:rFonts w:asciiTheme="minorHAnsi" w:hAnsiTheme="minorHAnsi" w:cstheme="minorHAnsi"/>
          <w:sz w:val="28"/>
          <w:szCs w:val="22"/>
        </w:rPr>
      </w:pPr>
      <w:r>
        <w:rPr>
          <w:rFonts w:asciiTheme="minorHAnsi" w:hAnsiTheme="minorHAnsi" w:cstheme="minorHAnsi"/>
          <w:b/>
          <w:sz w:val="28"/>
          <w:szCs w:val="22"/>
        </w:rPr>
        <w:t>2</w:t>
      </w:r>
      <w:r w:rsidR="00111A64" w:rsidRPr="007F07A4">
        <w:rPr>
          <w:rFonts w:asciiTheme="minorHAnsi" w:hAnsiTheme="minorHAnsi" w:cstheme="minorHAnsi"/>
          <w:b/>
          <w:sz w:val="28"/>
          <w:szCs w:val="22"/>
        </w:rPr>
        <w:t>030 Scenario Planning for Aging Services</w:t>
      </w:r>
      <w:r w:rsidR="007F07A4">
        <w:rPr>
          <w:rFonts w:asciiTheme="minorHAnsi" w:hAnsiTheme="minorHAnsi" w:cstheme="minorHAnsi"/>
          <w:b/>
          <w:sz w:val="28"/>
          <w:szCs w:val="22"/>
        </w:rPr>
        <w:t>:</w:t>
      </w:r>
      <w:r w:rsidR="00111A64" w:rsidRPr="007F07A4">
        <w:rPr>
          <w:rFonts w:asciiTheme="minorHAnsi" w:hAnsiTheme="minorHAnsi" w:cstheme="minorHAnsi"/>
          <w:sz w:val="28"/>
          <w:szCs w:val="22"/>
        </w:rPr>
        <w:t xml:space="preserve"> </w:t>
      </w:r>
    </w:p>
    <w:p w:rsidR="00111A64" w:rsidRPr="004F6CE4" w:rsidRDefault="00111A64" w:rsidP="004F6CE4">
      <w:pPr>
        <w:pStyle w:val="NormalWeb"/>
        <w:spacing w:before="0" w:beforeAutospacing="0" w:after="0" w:afterAutospacing="0" w:line="276" w:lineRule="auto"/>
        <w:rPr>
          <w:rFonts w:asciiTheme="minorHAnsi" w:hAnsiTheme="minorHAnsi" w:cstheme="minorHAnsi"/>
          <w:sz w:val="22"/>
          <w:szCs w:val="22"/>
        </w:rPr>
      </w:pPr>
      <w:r w:rsidRPr="004F6CE4">
        <w:rPr>
          <w:rFonts w:asciiTheme="minorHAnsi" w:hAnsiTheme="minorHAnsi" w:cstheme="minorHAnsi"/>
          <w:sz w:val="22"/>
          <w:szCs w:val="22"/>
        </w:rPr>
        <w:t xml:space="preserve">In an uncertain political and regulatory environment with multiple forces impacting aging services, it is imperative that we help our provider members take the initiative to plan for possible futures. We engaged the Institute for Alternative Futures to help us with 2030 Scenario Planning for Aging Services and developed a </w:t>
      </w:r>
      <w:hyperlink r:id="rId27" w:history="1">
        <w:r w:rsidRPr="004F6CE4">
          <w:rPr>
            <w:rStyle w:val="Hyperlink"/>
            <w:rFonts w:asciiTheme="minorHAnsi" w:hAnsiTheme="minorHAnsi" w:cstheme="minorHAnsi"/>
            <w:sz w:val="22"/>
            <w:szCs w:val="22"/>
          </w:rPr>
          <w:t>toolkit</w:t>
        </w:r>
      </w:hyperlink>
      <w:r w:rsidRPr="004F6CE4">
        <w:rPr>
          <w:rFonts w:asciiTheme="minorHAnsi" w:hAnsiTheme="minorHAnsi" w:cstheme="minorHAnsi"/>
          <w:sz w:val="22"/>
          <w:szCs w:val="22"/>
        </w:rPr>
        <w:t xml:space="preserve"> for members.  </w:t>
      </w:r>
    </w:p>
    <w:p w:rsidR="00111A64" w:rsidRPr="004F6CE4" w:rsidRDefault="00111A64" w:rsidP="004F6CE4">
      <w:pPr>
        <w:pStyle w:val="NormalWeb"/>
        <w:spacing w:before="0" w:beforeAutospacing="0" w:after="0" w:afterAutospacing="0" w:line="276" w:lineRule="auto"/>
        <w:rPr>
          <w:rFonts w:asciiTheme="minorHAnsi" w:hAnsiTheme="minorHAnsi" w:cstheme="minorHAnsi"/>
          <w:sz w:val="22"/>
          <w:szCs w:val="22"/>
        </w:rPr>
      </w:pPr>
    </w:p>
    <w:sectPr w:rsidR="00111A64" w:rsidRPr="004F6CE4" w:rsidSect="007B5716">
      <w:headerReference w:type="default" r:id="rId28"/>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ACD" w:rsidRDefault="00210ACD" w:rsidP="00936ADA">
      <w:pPr>
        <w:spacing w:after="0" w:line="240" w:lineRule="auto"/>
      </w:pPr>
      <w:r>
        <w:separator/>
      </w:r>
    </w:p>
  </w:endnote>
  <w:endnote w:type="continuationSeparator" w:id="0">
    <w:p w:rsidR="00210ACD" w:rsidRDefault="00210ACD" w:rsidP="0093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ievitOT-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ACD" w:rsidRDefault="00210ACD" w:rsidP="00936ADA">
      <w:pPr>
        <w:spacing w:after="0" w:line="240" w:lineRule="auto"/>
      </w:pPr>
      <w:r>
        <w:separator/>
      </w:r>
    </w:p>
  </w:footnote>
  <w:footnote w:type="continuationSeparator" w:id="0">
    <w:p w:rsidR="00210ACD" w:rsidRDefault="00210ACD" w:rsidP="00936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A" w:rsidRDefault="00936ADA" w:rsidP="002D6F4B">
    <w:pPr>
      <w:pStyle w:val="Header"/>
      <w:tabs>
        <w:tab w:val="clear" w:pos="4680"/>
        <w:tab w:val="clear" w:pos="9360"/>
        <w:tab w:val="left" w:pos="6097"/>
      </w:tabs>
    </w:pPr>
    <w:r>
      <w:rPr>
        <w:noProof/>
      </w:rPr>
      <w:drawing>
        <wp:anchor distT="0" distB="0" distL="114300" distR="114300" simplePos="0" relativeHeight="251658240"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 Upd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2D6F4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0838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0BB6"/>
    <w:multiLevelType w:val="hybridMultilevel"/>
    <w:tmpl w:val="1E96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A2577"/>
    <w:multiLevelType w:val="hybridMultilevel"/>
    <w:tmpl w:val="0CAA21DA"/>
    <w:lvl w:ilvl="0" w:tplc="9684E02A">
      <w:numFmt w:val="bullet"/>
      <w:lvlText w:val="·"/>
      <w:lvlJc w:val="left"/>
      <w:pPr>
        <w:ind w:left="-360" w:hanging="360"/>
      </w:pPr>
      <w:rPr>
        <w:rFonts w:ascii="Calibri" w:eastAsia="Times New Roman" w:hAnsi="Calibri" w:cs="Times New Roman" w:hint="default"/>
        <w:color w:val="2121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1F1941"/>
    <w:multiLevelType w:val="hybridMultilevel"/>
    <w:tmpl w:val="2AD8E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400AFB"/>
    <w:multiLevelType w:val="multilevel"/>
    <w:tmpl w:val="D54A38D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0A5625C9"/>
    <w:multiLevelType w:val="hybridMultilevel"/>
    <w:tmpl w:val="CAAC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92013"/>
    <w:multiLevelType w:val="hybridMultilevel"/>
    <w:tmpl w:val="7396D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6B3867"/>
    <w:multiLevelType w:val="hybridMultilevel"/>
    <w:tmpl w:val="18B65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07774E"/>
    <w:multiLevelType w:val="hybridMultilevel"/>
    <w:tmpl w:val="1EB8D446"/>
    <w:lvl w:ilvl="0" w:tplc="B600BFF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E1895"/>
    <w:multiLevelType w:val="hybridMultilevel"/>
    <w:tmpl w:val="81A87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E937A1"/>
    <w:multiLevelType w:val="hybridMultilevel"/>
    <w:tmpl w:val="48ECEC18"/>
    <w:lvl w:ilvl="0" w:tplc="9684E02A">
      <w:numFmt w:val="bullet"/>
      <w:lvlText w:val="·"/>
      <w:lvlJc w:val="left"/>
      <w:pPr>
        <w:ind w:left="0" w:hanging="360"/>
      </w:pPr>
      <w:rPr>
        <w:rFonts w:ascii="Calibri" w:eastAsia="Times New Roman" w:hAnsi="Calibri" w:cs="Times New Roman" w:hint="default"/>
        <w:color w:val="21212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18509BA"/>
    <w:multiLevelType w:val="multilevel"/>
    <w:tmpl w:val="AF7A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57531D"/>
    <w:multiLevelType w:val="hybridMultilevel"/>
    <w:tmpl w:val="70C2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B19D3"/>
    <w:multiLevelType w:val="hybridMultilevel"/>
    <w:tmpl w:val="8814F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844148"/>
    <w:multiLevelType w:val="hybridMultilevel"/>
    <w:tmpl w:val="B198C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C19532D"/>
    <w:multiLevelType w:val="hybridMultilevel"/>
    <w:tmpl w:val="7632E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C61B94"/>
    <w:multiLevelType w:val="hybridMultilevel"/>
    <w:tmpl w:val="7638C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137A2"/>
    <w:multiLevelType w:val="hybridMultilevel"/>
    <w:tmpl w:val="F148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C7521"/>
    <w:multiLevelType w:val="multilevel"/>
    <w:tmpl w:val="851C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05622F"/>
    <w:multiLevelType w:val="hybridMultilevel"/>
    <w:tmpl w:val="F418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D6BE1"/>
    <w:multiLevelType w:val="hybridMultilevel"/>
    <w:tmpl w:val="DBD6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D7CB9"/>
    <w:multiLevelType w:val="hybridMultilevel"/>
    <w:tmpl w:val="306023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DC0840"/>
    <w:multiLevelType w:val="hybridMultilevel"/>
    <w:tmpl w:val="39B2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61BCA"/>
    <w:multiLevelType w:val="hybridMultilevel"/>
    <w:tmpl w:val="B8B6D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525C88"/>
    <w:multiLevelType w:val="hybridMultilevel"/>
    <w:tmpl w:val="23B40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3B3B95"/>
    <w:multiLevelType w:val="hybridMultilevel"/>
    <w:tmpl w:val="DD78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64F66"/>
    <w:multiLevelType w:val="multilevel"/>
    <w:tmpl w:val="871A8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F5EFF"/>
    <w:multiLevelType w:val="hybridMultilevel"/>
    <w:tmpl w:val="72C0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3090F5F"/>
    <w:multiLevelType w:val="hybridMultilevel"/>
    <w:tmpl w:val="C93E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95217"/>
    <w:multiLevelType w:val="multilevel"/>
    <w:tmpl w:val="151A0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C92773"/>
    <w:multiLevelType w:val="hybridMultilevel"/>
    <w:tmpl w:val="557CF40E"/>
    <w:lvl w:ilvl="0" w:tplc="9684E02A">
      <w:numFmt w:val="bullet"/>
      <w:lvlText w:val="·"/>
      <w:lvlJc w:val="left"/>
      <w:pPr>
        <w:ind w:left="0" w:hanging="360"/>
      </w:pPr>
      <w:rPr>
        <w:rFonts w:ascii="Calibri" w:eastAsia="Times New Roman" w:hAnsi="Calibri" w:cs="Times New Roman" w:hint="default"/>
        <w:color w:val="2121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B147C"/>
    <w:multiLevelType w:val="hybridMultilevel"/>
    <w:tmpl w:val="29D6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25C1F"/>
    <w:multiLevelType w:val="hybridMultilevel"/>
    <w:tmpl w:val="BC7E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7333D"/>
    <w:multiLevelType w:val="hybridMultilevel"/>
    <w:tmpl w:val="B64C38A0"/>
    <w:lvl w:ilvl="0" w:tplc="9684E02A">
      <w:numFmt w:val="bullet"/>
      <w:lvlText w:val="·"/>
      <w:lvlJc w:val="left"/>
      <w:pPr>
        <w:ind w:left="0" w:hanging="360"/>
      </w:pPr>
      <w:rPr>
        <w:rFonts w:ascii="Calibri" w:eastAsia="Times New Roman" w:hAnsi="Calibri" w:cs="Times New Roman" w:hint="default"/>
        <w:color w:val="2121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44F58"/>
    <w:multiLevelType w:val="hybridMultilevel"/>
    <w:tmpl w:val="76E22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0517E"/>
    <w:multiLevelType w:val="multilevel"/>
    <w:tmpl w:val="103E7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ED3C02"/>
    <w:multiLevelType w:val="hybridMultilevel"/>
    <w:tmpl w:val="A1D6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E18A9"/>
    <w:multiLevelType w:val="hybridMultilevel"/>
    <w:tmpl w:val="5D6E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4"/>
  </w:num>
  <w:num w:numId="4">
    <w:abstractNumId w:val="37"/>
  </w:num>
  <w:num w:numId="5">
    <w:abstractNumId w:val="3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4"/>
  </w:num>
  <w:num w:numId="9">
    <w:abstractNumId w:val="19"/>
  </w:num>
  <w:num w:numId="10">
    <w:abstractNumId w:val="20"/>
  </w:num>
  <w:num w:numId="11">
    <w:abstractNumId w:val="1"/>
  </w:num>
  <w:num w:numId="12">
    <w:abstractNumId w:val="22"/>
  </w:num>
  <w:num w:numId="13">
    <w:abstractNumId w:val="29"/>
  </w:num>
  <w:num w:numId="14">
    <w:abstractNumId w:val="7"/>
  </w:num>
  <w:num w:numId="15">
    <w:abstractNumId w:val="10"/>
  </w:num>
  <w:num w:numId="16">
    <w:abstractNumId w:val="2"/>
  </w:num>
  <w:num w:numId="17">
    <w:abstractNumId w:val="33"/>
  </w:num>
  <w:num w:numId="18">
    <w:abstractNumId w:val="30"/>
  </w:num>
  <w:num w:numId="19">
    <w:abstractNumId w:val="34"/>
  </w:num>
  <w:num w:numId="20">
    <w:abstractNumId w:val="16"/>
  </w:num>
  <w:num w:numId="21">
    <w:abstractNumId w:val="17"/>
  </w:num>
  <w:num w:numId="22">
    <w:abstractNumId w:val="11"/>
  </w:num>
  <w:num w:numId="23">
    <w:abstractNumId w:val="18"/>
  </w:num>
  <w:num w:numId="24">
    <w:abstractNumId w:val="25"/>
  </w:num>
  <w:num w:numId="25">
    <w:abstractNumId w:val="3"/>
  </w:num>
  <w:num w:numId="26">
    <w:abstractNumId w:val="27"/>
  </w:num>
  <w:num w:numId="27">
    <w:abstractNumId w:val="0"/>
  </w:num>
  <w:num w:numId="28">
    <w:abstractNumId w:val="6"/>
  </w:num>
  <w:num w:numId="29">
    <w:abstractNumId w:val="5"/>
  </w:num>
  <w:num w:numId="30">
    <w:abstractNumId w:val="24"/>
  </w:num>
  <w:num w:numId="31">
    <w:abstractNumId w:val="23"/>
  </w:num>
  <w:num w:numId="32">
    <w:abstractNumId w:val="2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6"/>
  </w:num>
  <w:num w:numId="36">
    <w:abstractNumId w:val="35"/>
  </w:num>
  <w:num w:numId="37">
    <w:abstractNumId w:val="31"/>
  </w:num>
  <w:num w:numId="38">
    <w:abstractNumId w:val="8"/>
  </w:num>
  <w:num w:numId="39">
    <w:abstractNumId w:val="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97"/>
    <w:rsid w:val="00000905"/>
    <w:rsid w:val="000023E4"/>
    <w:rsid w:val="000106A3"/>
    <w:rsid w:val="00010809"/>
    <w:rsid w:val="00010A21"/>
    <w:rsid w:val="00010D18"/>
    <w:rsid w:val="00011371"/>
    <w:rsid w:val="00023177"/>
    <w:rsid w:val="00024D96"/>
    <w:rsid w:val="00027EE0"/>
    <w:rsid w:val="000312C0"/>
    <w:rsid w:val="0003162E"/>
    <w:rsid w:val="00032C03"/>
    <w:rsid w:val="000360E3"/>
    <w:rsid w:val="0004221D"/>
    <w:rsid w:val="00043314"/>
    <w:rsid w:val="000569CE"/>
    <w:rsid w:val="000609BC"/>
    <w:rsid w:val="00061AF6"/>
    <w:rsid w:val="00065D86"/>
    <w:rsid w:val="0007391D"/>
    <w:rsid w:val="00090AA5"/>
    <w:rsid w:val="00095374"/>
    <w:rsid w:val="00095560"/>
    <w:rsid w:val="000A74D1"/>
    <w:rsid w:val="000A77F3"/>
    <w:rsid w:val="000B5C03"/>
    <w:rsid w:val="000C12EE"/>
    <w:rsid w:val="000C472F"/>
    <w:rsid w:val="000D4CBE"/>
    <w:rsid w:val="00102065"/>
    <w:rsid w:val="001032F4"/>
    <w:rsid w:val="00104D70"/>
    <w:rsid w:val="00111A64"/>
    <w:rsid w:val="00113CE2"/>
    <w:rsid w:val="00113D7C"/>
    <w:rsid w:val="001208AD"/>
    <w:rsid w:val="0013295A"/>
    <w:rsid w:val="001368B8"/>
    <w:rsid w:val="00147C92"/>
    <w:rsid w:val="00152085"/>
    <w:rsid w:val="00155AE9"/>
    <w:rsid w:val="00156DB5"/>
    <w:rsid w:val="001603FC"/>
    <w:rsid w:val="00171A0F"/>
    <w:rsid w:val="0017374F"/>
    <w:rsid w:val="00183C4B"/>
    <w:rsid w:val="0018789C"/>
    <w:rsid w:val="00194209"/>
    <w:rsid w:val="001C297C"/>
    <w:rsid w:val="001C66B3"/>
    <w:rsid w:val="001D09CA"/>
    <w:rsid w:val="001D175A"/>
    <w:rsid w:val="001D19E8"/>
    <w:rsid w:val="001E42C0"/>
    <w:rsid w:val="001E7E6D"/>
    <w:rsid w:val="0020562F"/>
    <w:rsid w:val="00210ACD"/>
    <w:rsid w:val="00213E2D"/>
    <w:rsid w:val="00215C0A"/>
    <w:rsid w:val="002178E0"/>
    <w:rsid w:val="00217C23"/>
    <w:rsid w:val="002216DB"/>
    <w:rsid w:val="0022250A"/>
    <w:rsid w:val="00224D77"/>
    <w:rsid w:val="002334F8"/>
    <w:rsid w:val="002511C9"/>
    <w:rsid w:val="00254CF7"/>
    <w:rsid w:val="00257C20"/>
    <w:rsid w:val="002609A7"/>
    <w:rsid w:val="00264C18"/>
    <w:rsid w:val="00265323"/>
    <w:rsid w:val="00280083"/>
    <w:rsid w:val="00281012"/>
    <w:rsid w:val="0028146B"/>
    <w:rsid w:val="00282EE9"/>
    <w:rsid w:val="00290417"/>
    <w:rsid w:val="00291896"/>
    <w:rsid w:val="0029524A"/>
    <w:rsid w:val="002A053E"/>
    <w:rsid w:val="002A39F6"/>
    <w:rsid w:val="002C06A6"/>
    <w:rsid w:val="002C0AB2"/>
    <w:rsid w:val="002C629D"/>
    <w:rsid w:val="002C68D7"/>
    <w:rsid w:val="002D18F5"/>
    <w:rsid w:val="002D6F4B"/>
    <w:rsid w:val="002E3E8F"/>
    <w:rsid w:val="002E69B7"/>
    <w:rsid w:val="002F05AC"/>
    <w:rsid w:val="003006AB"/>
    <w:rsid w:val="00302865"/>
    <w:rsid w:val="0030323F"/>
    <w:rsid w:val="00305C2C"/>
    <w:rsid w:val="00320099"/>
    <w:rsid w:val="003201E2"/>
    <w:rsid w:val="00321B44"/>
    <w:rsid w:val="00322C33"/>
    <w:rsid w:val="00322F2F"/>
    <w:rsid w:val="00334140"/>
    <w:rsid w:val="003349A6"/>
    <w:rsid w:val="00337C29"/>
    <w:rsid w:val="0034208F"/>
    <w:rsid w:val="003455DE"/>
    <w:rsid w:val="00347EE6"/>
    <w:rsid w:val="003518A6"/>
    <w:rsid w:val="00354CD9"/>
    <w:rsid w:val="00362510"/>
    <w:rsid w:val="00370B3A"/>
    <w:rsid w:val="0037106D"/>
    <w:rsid w:val="003736E0"/>
    <w:rsid w:val="00383456"/>
    <w:rsid w:val="00391739"/>
    <w:rsid w:val="0039398C"/>
    <w:rsid w:val="003A478F"/>
    <w:rsid w:val="003B18FF"/>
    <w:rsid w:val="003B3DAE"/>
    <w:rsid w:val="003C4842"/>
    <w:rsid w:val="003E68BE"/>
    <w:rsid w:val="003F4AAD"/>
    <w:rsid w:val="003F519D"/>
    <w:rsid w:val="003F6EA7"/>
    <w:rsid w:val="00410A76"/>
    <w:rsid w:val="00413979"/>
    <w:rsid w:val="00414F4D"/>
    <w:rsid w:val="00415E38"/>
    <w:rsid w:val="00420154"/>
    <w:rsid w:val="00422235"/>
    <w:rsid w:val="00430C1F"/>
    <w:rsid w:val="00430CB8"/>
    <w:rsid w:val="00436BE9"/>
    <w:rsid w:val="004402CA"/>
    <w:rsid w:val="00454234"/>
    <w:rsid w:val="00455800"/>
    <w:rsid w:val="004764A4"/>
    <w:rsid w:val="00491180"/>
    <w:rsid w:val="00491E87"/>
    <w:rsid w:val="004B2D84"/>
    <w:rsid w:val="004C3686"/>
    <w:rsid w:val="004C5027"/>
    <w:rsid w:val="004E1F3E"/>
    <w:rsid w:val="004F4F2C"/>
    <w:rsid w:val="004F6CE4"/>
    <w:rsid w:val="004F715F"/>
    <w:rsid w:val="0050445D"/>
    <w:rsid w:val="005118CC"/>
    <w:rsid w:val="00514F8F"/>
    <w:rsid w:val="005215B1"/>
    <w:rsid w:val="00522712"/>
    <w:rsid w:val="00531E03"/>
    <w:rsid w:val="005343DB"/>
    <w:rsid w:val="00543794"/>
    <w:rsid w:val="0055115D"/>
    <w:rsid w:val="005527F9"/>
    <w:rsid w:val="00553E8F"/>
    <w:rsid w:val="005709CA"/>
    <w:rsid w:val="0058433E"/>
    <w:rsid w:val="00594442"/>
    <w:rsid w:val="005947C9"/>
    <w:rsid w:val="005A3401"/>
    <w:rsid w:val="005B191A"/>
    <w:rsid w:val="005B5EBF"/>
    <w:rsid w:val="005C4CD0"/>
    <w:rsid w:val="005C5912"/>
    <w:rsid w:val="005D2B92"/>
    <w:rsid w:val="005D5C6F"/>
    <w:rsid w:val="005E0AFD"/>
    <w:rsid w:val="005E3D24"/>
    <w:rsid w:val="005E75B1"/>
    <w:rsid w:val="005E7D12"/>
    <w:rsid w:val="005F605A"/>
    <w:rsid w:val="00600D2D"/>
    <w:rsid w:val="00607875"/>
    <w:rsid w:val="0061167F"/>
    <w:rsid w:val="00611B99"/>
    <w:rsid w:val="00616C9F"/>
    <w:rsid w:val="006175AC"/>
    <w:rsid w:val="00634E38"/>
    <w:rsid w:val="006419B9"/>
    <w:rsid w:val="00653AD9"/>
    <w:rsid w:val="00653F8E"/>
    <w:rsid w:val="00661DD7"/>
    <w:rsid w:val="006720A5"/>
    <w:rsid w:val="00675DF9"/>
    <w:rsid w:val="00676106"/>
    <w:rsid w:val="00676B12"/>
    <w:rsid w:val="00690181"/>
    <w:rsid w:val="00694C82"/>
    <w:rsid w:val="006A1B08"/>
    <w:rsid w:val="006A1BB3"/>
    <w:rsid w:val="006A2C52"/>
    <w:rsid w:val="006A5E97"/>
    <w:rsid w:val="006C11CB"/>
    <w:rsid w:val="006C4702"/>
    <w:rsid w:val="006D5DEA"/>
    <w:rsid w:val="006E1FFF"/>
    <w:rsid w:val="006E2D54"/>
    <w:rsid w:val="006F153E"/>
    <w:rsid w:val="0070043B"/>
    <w:rsid w:val="007070A3"/>
    <w:rsid w:val="00725937"/>
    <w:rsid w:val="00734D77"/>
    <w:rsid w:val="00741A40"/>
    <w:rsid w:val="00746394"/>
    <w:rsid w:val="0075093E"/>
    <w:rsid w:val="00765055"/>
    <w:rsid w:val="0076547A"/>
    <w:rsid w:val="0078202A"/>
    <w:rsid w:val="00791FA4"/>
    <w:rsid w:val="007966BC"/>
    <w:rsid w:val="007B5716"/>
    <w:rsid w:val="007E74D3"/>
    <w:rsid w:val="007F07A4"/>
    <w:rsid w:val="007F50F8"/>
    <w:rsid w:val="007F61AB"/>
    <w:rsid w:val="00800938"/>
    <w:rsid w:val="008077B7"/>
    <w:rsid w:val="0081082A"/>
    <w:rsid w:val="0081116E"/>
    <w:rsid w:val="0081323F"/>
    <w:rsid w:val="00814F49"/>
    <w:rsid w:val="0081617E"/>
    <w:rsid w:val="00820E28"/>
    <w:rsid w:val="00840735"/>
    <w:rsid w:val="0084319D"/>
    <w:rsid w:val="008433AB"/>
    <w:rsid w:val="00843D6A"/>
    <w:rsid w:val="008466AD"/>
    <w:rsid w:val="00864066"/>
    <w:rsid w:val="00865DC5"/>
    <w:rsid w:val="00870263"/>
    <w:rsid w:val="00877A6D"/>
    <w:rsid w:val="00881FDF"/>
    <w:rsid w:val="008A0D73"/>
    <w:rsid w:val="008A5D00"/>
    <w:rsid w:val="008B10AA"/>
    <w:rsid w:val="008B1F34"/>
    <w:rsid w:val="008B21B2"/>
    <w:rsid w:val="008C18F1"/>
    <w:rsid w:val="008D160C"/>
    <w:rsid w:val="008D7C6E"/>
    <w:rsid w:val="008E1265"/>
    <w:rsid w:val="008E70E5"/>
    <w:rsid w:val="008F5958"/>
    <w:rsid w:val="00905EC5"/>
    <w:rsid w:val="009125A2"/>
    <w:rsid w:val="00912C9F"/>
    <w:rsid w:val="0092159D"/>
    <w:rsid w:val="00923634"/>
    <w:rsid w:val="00934429"/>
    <w:rsid w:val="00936ADA"/>
    <w:rsid w:val="009438A9"/>
    <w:rsid w:val="009707C4"/>
    <w:rsid w:val="00974D0E"/>
    <w:rsid w:val="00975FF0"/>
    <w:rsid w:val="0097681C"/>
    <w:rsid w:val="00980BCD"/>
    <w:rsid w:val="00980D5C"/>
    <w:rsid w:val="00982B2A"/>
    <w:rsid w:val="00983A22"/>
    <w:rsid w:val="00990AC6"/>
    <w:rsid w:val="00992DF6"/>
    <w:rsid w:val="00993670"/>
    <w:rsid w:val="009B3060"/>
    <w:rsid w:val="009D2268"/>
    <w:rsid w:val="009D2CDA"/>
    <w:rsid w:val="009D6121"/>
    <w:rsid w:val="009F1EB9"/>
    <w:rsid w:val="009F1F57"/>
    <w:rsid w:val="009F216A"/>
    <w:rsid w:val="00A012C8"/>
    <w:rsid w:val="00A03F8E"/>
    <w:rsid w:val="00A1189E"/>
    <w:rsid w:val="00A12061"/>
    <w:rsid w:val="00A15378"/>
    <w:rsid w:val="00A15C04"/>
    <w:rsid w:val="00A1600B"/>
    <w:rsid w:val="00A22392"/>
    <w:rsid w:val="00A242DD"/>
    <w:rsid w:val="00A2588A"/>
    <w:rsid w:val="00A3683F"/>
    <w:rsid w:val="00A54446"/>
    <w:rsid w:val="00A54C96"/>
    <w:rsid w:val="00A644E8"/>
    <w:rsid w:val="00A67CEC"/>
    <w:rsid w:val="00A71341"/>
    <w:rsid w:val="00A73AB3"/>
    <w:rsid w:val="00A76C6E"/>
    <w:rsid w:val="00A77AAD"/>
    <w:rsid w:val="00AB0DF6"/>
    <w:rsid w:val="00AD5D16"/>
    <w:rsid w:val="00AD665B"/>
    <w:rsid w:val="00AD7E3F"/>
    <w:rsid w:val="00AE10BC"/>
    <w:rsid w:val="00AF0342"/>
    <w:rsid w:val="00AF22C5"/>
    <w:rsid w:val="00AF7BA2"/>
    <w:rsid w:val="00B0030D"/>
    <w:rsid w:val="00B07D64"/>
    <w:rsid w:val="00B2666B"/>
    <w:rsid w:val="00B324B1"/>
    <w:rsid w:val="00B33617"/>
    <w:rsid w:val="00B35337"/>
    <w:rsid w:val="00B47F3D"/>
    <w:rsid w:val="00B5471E"/>
    <w:rsid w:val="00B65BB0"/>
    <w:rsid w:val="00B83799"/>
    <w:rsid w:val="00B839F3"/>
    <w:rsid w:val="00B869E8"/>
    <w:rsid w:val="00B90593"/>
    <w:rsid w:val="00B93D1F"/>
    <w:rsid w:val="00BB03DB"/>
    <w:rsid w:val="00BB3D22"/>
    <w:rsid w:val="00BB4A9A"/>
    <w:rsid w:val="00BB5199"/>
    <w:rsid w:val="00BB58CC"/>
    <w:rsid w:val="00BB669F"/>
    <w:rsid w:val="00BB73E8"/>
    <w:rsid w:val="00BC6019"/>
    <w:rsid w:val="00BD4164"/>
    <w:rsid w:val="00BD7188"/>
    <w:rsid w:val="00BF17C4"/>
    <w:rsid w:val="00C00119"/>
    <w:rsid w:val="00C03019"/>
    <w:rsid w:val="00C1197A"/>
    <w:rsid w:val="00C120C2"/>
    <w:rsid w:val="00C138C8"/>
    <w:rsid w:val="00C15474"/>
    <w:rsid w:val="00C2031C"/>
    <w:rsid w:val="00C234B9"/>
    <w:rsid w:val="00C30F1F"/>
    <w:rsid w:val="00C321FD"/>
    <w:rsid w:val="00C507AC"/>
    <w:rsid w:val="00C52290"/>
    <w:rsid w:val="00C709EA"/>
    <w:rsid w:val="00C71849"/>
    <w:rsid w:val="00C75004"/>
    <w:rsid w:val="00C76929"/>
    <w:rsid w:val="00C811FB"/>
    <w:rsid w:val="00C9558F"/>
    <w:rsid w:val="00CA1F74"/>
    <w:rsid w:val="00CB7524"/>
    <w:rsid w:val="00CC3DFB"/>
    <w:rsid w:val="00CC5565"/>
    <w:rsid w:val="00CC724A"/>
    <w:rsid w:val="00CE1072"/>
    <w:rsid w:val="00CE2F62"/>
    <w:rsid w:val="00CE4985"/>
    <w:rsid w:val="00CF4A6B"/>
    <w:rsid w:val="00D0001B"/>
    <w:rsid w:val="00D11E1B"/>
    <w:rsid w:val="00D12234"/>
    <w:rsid w:val="00D17376"/>
    <w:rsid w:val="00D22F5B"/>
    <w:rsid w:val="00D43419"/>
    <w:rsid w:val="00D45EDC"/>
    <w:rsid w:val="00D52637"/>
    <w:rsid w:val="00D61F36"/>
    <w:rsid w:val="00D64D85"/>
    <w:rsid w:val="00D65071"/>
    <w:rsid w:val="00D70AB4"/>
    <w:rsid w:val="00D71B04"/>
    <w:rsid w:val="00D72A42"/>
    <w:rsid w:val="00D754C0"/>
    <w:rsid w:val="00D75AAA"/>
    <w:rsid w:val="00D80A3F"/>
    <w:rsid w:val="00D83391"/>
    <w:rsid w:val="00D84B83"/>
    <w:rsid w:val="00D864D2"/>
    <w:rsid w:val="00DA1858"/>
    <w:rsid w:val="00DA562D"/>
    <w:rsid w:val="00DB3B2D"/>
    <w:rsid w:val="00DD1CF4"/>
    <w:rsid w:val="00DD556C"/>
    <w:rsid w:val="00DE5B5D"/>
    <w:rsid w:val="00DE5FE0"/>
    <w:rsid w:val="00DF4C9C"/>
    <w:rsid w:val="00E03076"/>
    <w:rsid w:val="00E1413A"/>
    <w:rsid w:val="00E17E4D"/>
    <w:rsid w:val="00E22905"/>
    <w:rsid w:val="00E36969"/>
    <w:rsid w:val="00E37999"/>
    <w:rsid w:val="00E44997"/>
    <w:rsid w:val="00E47FCD"/>
    <w:rsid w:val="00E5060F"/>
    <w:rsid w:val="00E50AE2"/>
    <w:rsid w:val="00E527E7"/>
    <w:rsid w:val="00E605D8"/>
    <w:rsid w:val="00E6260D"/>
    <w:rsid w:val="00E63F8C"/>
    <w:rsid w:val="00E674CC"/>
    <w:rsid w:val="00E67A63"/>
    <w:rsid w:val="00E712A2"/>
    <w:rsid w:val="00E8116C"/>
    <w:rsid w:val="00E86D78"/>
    <w:rsid w:val="00E93809"/>
    <w:rsid w:val="00EA17FD"/>
    <w:rsid w:val="00EA2A27"/>
    <w:rsid w:val="00EA5EF4"/>
    <w:rsid w:val="00EB1257"/>
    <w:rsid w:val="00EC13F5"/>
    <w:rsid w:val="00ED6C51"/>
    <w:rsid w:val="00EE3A3C"/>
    <w:rsid w:val="00EF2C86"/>
    <w:rsid w:val="00EF5B08"/>
    <w:rsid w:val="00EF6F45"/>
    <w:rsid w:val="00F11E95"/>
    <w:rsid w:val="00F12E70"/>
    <w:rsid w:val="00F145E2"/>
    <w:rsid w:val="00F1738A"/>
    <w:rsid w:val="00F202C9"/>
    <w:rsid w:val="00F210F6"/>
    <w:rsid w:val="00F22064"/>
    <w:rsid w:val="00F22DBC"/>
    <w:rsid w:val="00F30D61"/>
    <w:rsid w:val="00F42775"/>
    <w:rsid w:val="00F63C44"/>
    <w:rsid w:val="00F6404D"/>
    <w:rsid w:val="00F74E9C"/>
    <w:rsid w:val="00F82B96"/>
    <w:rsid w:val="00F85013"/>
    <w:rsid w:val="00F8718C"/>
    <w:rsid w:val="00F9202F"/>
    <w:rsid w:val="00F96E53"/>
    <w:rsid w:val="00FA12B4"/>
    <w:rsid w:val="00FB1331"/>
    <w:rsid w:val="00FB592F"/>
    <w:rsid w:val="00FC2F10"/>
    <w:rsid w:val="00FD0A08"/>
    <w:rsid w:val="00FD50EC"/>
    <w:rsid w:val="00FE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1D575E0C-DEE5-428B-90DF-966790B6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00D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B7524"/>
    <w:pPr>
      <w:spacing w:after="105" w:line="277" w:lineRule="atLeast"/>
      <w:outlineLvl w:val="2"/>
    </w:pPr>
    <w:rPr>
      <w:rFonts w:ascii="Helvetica" w:eastAsia="Times New Roman" w:hAnsi="Helvetica" w:cs="Helvetica"/>
      <w:b/>
      <w:bCs/>
      <w:color w:val="40445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181"/>
    <w:pPr>
      <w:ind w:left="720"/>
      <w:contextualSpacing/>
    </w:pPr>
  </w:style>
  <w:style w:type="character" w:styleId="Hyperlink">
    <w:name w:val="Hyperlink"/>
    <w:basedOn w:val="DefaultParagraphFont"/>
    <w:uiPriority w:val="99"/>
    <w:unhideWhenUsed/>
    <w:rsid w:val="00690181"/>
    <w:rPr>
      <w:color w:val="0563C1" w:themeColor="hyperlink"/>
      <w:u w:val="single"/>
    </w:rPr>
  </w:style>
  <w:style w:type="paragraph" w:styleId="NormalWeb">
    <w:name w:val="Normal (Web)"/>
    <w:basedOn w:val="Normal"/>
    <w:uiPriority w:val="99"/>
    <w:unhideWhenUsed/>
    <w:rsid w:val="007B5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5716"/>
  </w:style>
  <w:style w:type="character" w:customStyle="1" w:styleId="xn-org">
    <w:name w:val="xn-org"/>
    <w:basedOn w:val="DefaultParagraphFont"/>
    <w:rsid w:val="007B5716"/>
  </w:style>
  <w:style w:type="character" w:customStyle="1" w:styleId="xn-person">
    <w:name w:val="xn-person"/>
    <w:basedOn w:val="DefaultParagraphFont"/>
    <w:rsid w:val="007B5716"/>
  </w:style>
  <w:style w:type="character" w:customStyle="1" w:styleId="xn-location">
    <w:name w:val="xn-location"/>
    <w:basedOn w:val="DefaultParagraphFont"/>
    <w:rsid w:val="007B5716"/>
  </w:style>
  <w:style w:type="paragraph" w:styleId="NoSpacing">
    <w:name w:val="No Spacing"/>
    <w:uiPriority w:val="1"/>
    <w:qFormat/>
    <w:rsid w:val="00DA1858"/>
    <w:pPr>
      <w:spacing w:after="0" w:line="240" w:lineRule="auto"/>
    </w:pPr>
  </w:style>
  <w:style w:type="character" w:styleId="Strong">
    <w:name w:val="Strong"/>
    <w:basedOn w:val="DefaultParagraphFont"/>
    <w:uiPriority w:val="22"/>
    <w:qFormat/>
    <w:rsid w:val="00E1413A"/>
    <w:rPr>
      <w:b/>
      <w:bCs/>
    </w:rPr>
  </w:style>
  <w:style w:type="character" w:styleId="FollowedHyperlink">
    <w:name w:val="FollowedHyperlink"/>
    <w:basedOn w:val="DefaultParagraphFont"/>
    <w:uiPriority w:val="99"/>
    <w:semiHidden/>
    <w:unhideWhenUsed/>
    <w:rsid w:val="00F202C9"/>
    <w:rPr>
      <w:color w:val="954F72" w:themeColor="followedHyperlink"/>
      <w:u w:val="single"/>
    </w:rPr>
  </w:style>
  <w:style w:type="character" w:customStyle="1" w:styleId="Heading3Char">
    <w:name w:val="Heading 3 Char"/>
    <w:basedOn w:val="DefaultParagraphFont"/>
    <w:link w:val="Heading3"/>
    <w:uiPriority w:val="9"/>
    <w:rsid w:val="00CB7524"/>
    <w:rPr>
      <w:rFonts w:ascii="Helvetica" w:eastAsia="Times New Roman" w:hAnsi="Helvetica" w:cs="Helvetica"/>
      <w:b/>
      <w:bCs/>
      <w:color w:val="404450"/>
      <w:sz w:val="33"/>
      <w:szCs w:val="33"/>
    </w:rPr>
  </w:style>
  <w:style w:type="character" w:styleId="CommentReference">
    <w:name w:val="annotation reference"/>
    <w:basedOn w:val="DefaultParagraphFont"/>
    <w:uiPriority w:val="99"/>
    <w:semiHidden/>
    <w:unhideWhenUsed/>
    <w:rsid w:val="00DE5FE0"/>
    <w:rPr>
      <w:sz w:val="16"/>
      <w:szCs w:val="16"/>
    </w:rPr>
  </w:style>
  <w:style w:type="paragraph" w:styleId="CommentText">
    <w:name w:val="annotation text"/>
    <w:basedOn w:val="Normal"/>
    <w:link w:val="CommentTextChar"/>
    <w:uiPriority w:val="99"/>
    <w:semiHidden/>
    <w:unhideWhenUsed/>
    <w:rsid w:val="00DE5FE0"/>
    <w:pPr>
      <w:spacing w:line="240" w:lineRule="auto"/>
    </w:pPr>
    <w:rPr>
      <w:sz w:val="20"/>
      <w:szCs w:val="20"/>
    </w:rPr>
  </w:style>
  <w:style w:type="character" w:customStyle="1" w:styleId="CommentTextChar">
    <w:name w:val="Comment Text Char"/>
    <w:basedOn w:val="DefaultParagraphFont"/>
    <w:link w:val="CommentText"/>
    <w:uiPriority w:val="99"/>
    <w:semiHidden/>
    <w:rsid w:val="00DE5FE0"/>
    <w:rPr>
      <w:sz w:val="20"/>
      <w:szCs w:val="20"/>
    </w:rPr>
  </w:style>
  <w:style w:type="paragraph" w:styleId="CommentSubject">
    <w:name w:val="annotation subject"/>
    <w:basedOn w:val="CommentText"/>
    <w:next w:val="CommentText"/>
    <w:link w:val="CommentSubjectChar"/>
    <w:uiPriority w:val="99"/>
    <w:semiHidden/>
    <w:unhideWhenUsed/>
    <w:rsid w:val="00DE5FE0"/>
    <w:rPr>
      <w:b/>
      <w:bCs/>
    </w:rPr>
  </w:style>
  <w:style w:type="character" w:customStyle="1" w:styleId="CommentSubjectChar">
    <w:name w:val="Comment Subject Char"/>
    <w:basedOn w:val="CommentTextChar"/>
    <w:link w:val="CommentSubject"/>
    <w:uiPriority w:val="99"/>
    <w:semiHidden/>
    <w:rsid w:val="00DE5FE0"/>
    <w:rPr>
      <w:b/>
      <w:bCs/>
      <w:sz w:val="20"/>
      <w:szCs w:val="20"/>
    </w:rPr>
  </w:style>
  <w:style w:type="paragraph" w:styleId="BalloonText">
    <w:name w:val="Balloon Text"/>
    <w:basedOn w:val="Normal"/>
    <w:link w:val="BalloonTextChar"/>
    <w:uiPriority w:val="99"/>
    <w:semiHidden/>
    <w:unhideWhenUsed/>
    <w:rsid w:val="00DE5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FE0"/>
    <w:rPr>
      <w:rFonts w:ascii="Segoe UI" w:hAnsi="Segoe UI" w:cs="Segoe UI"/>
      <w:sz w:val="18"/>
      <w:szCs w:val="18"/>
    </w:rPr>
  </w:style>
  <w:style w:type="character" w:customStyle="1" w:styleId="Heading2Char">
    <w:name w:val="Heading 2 Char"/>
    <w:basedOn w:val="DefaultParagraphFont"/>
    <w:link w:val="Heading2"/>
    <w:uiPriority w:val="9"/>
    <w:semiHidden/>
    <w:rsid w:val="00600D2D"/>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unhideWhenUsed/>
    <w:rsid w:val="00C709EA"/>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C709EA"/>
    <w:rPr>
      <w:rFonts w:ascii="Calibri" w:eastAsia="Times New Roman" w:hAnsi="Calibri" w:cs="Consolas"/>
      <w:szCs w:val="21"/>
    </w:rPr>
  </w:style>
  <w:style w:type="paragraph" w:styleId="Header">
    <w:name w:val="header"/>
    <w:basedOn w:val="Normal"/>
    <w:link w:val="HeaderChar"/>
    <w:uiPriority w:val="99"/>
    <w:unhideWhenUsed/>
    <w:rsid w:val="00936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DA"/>
  </w:style>
  <w:style w:type="paragraph" w:styleId="Footer">
    <w:name w:val="footer"/>
    <w:basedOn w:val="Normal"/>
    <w:link w:val="FooterChar"/>
    <w:uiPriority w:val="99"/>
    <w:unhideWhenUsed/>
    <w:rsid w:val="00936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DA"/>
  </w:style>
  <w:style w:type="paragraph" w:styleId="ListBullet">
    <w:name w:val="List Bullet"/>
    <w:basedOn w:val="Normal"/>
    <w:uiPriority w:val="99"/>
    <w:unhideWhenUsed/>
    <w:rsid w:val="00676B12"/>
    <w:pPr>
      <w:numPr>
        <w:numId w:val="27"/>
      </w:numPr>
      <w:contextualSpacing/>
    </w:pPr>
  </w:style>
  <w:style w:type="paragraph" w:customStyle="1" w:styleId="Default">
    <w:name w:val="Default"/>
    <w:rsid w:val="00095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50445D"/>
    <w:rPr>
      <w:color w:val="808080"/>
      <w:shd w:val="clear" w:color="auto" w:fill="E6E6E6"/>
    </w:rPr>
  </w:style>
  <w:style w:type="character" w:customStyle="1" w:styleId="A2">
    <w:name w:val="A2"/>
    <w:uiPriority w:val="99"/>
    <w:rsid w:val="008E70E5"/>
    <w:rPr>
      <w:rFonts w:cs="KievitOT-Regular"/>
      <w:color w:val="000000"/>
      <w:sz w:val="22"/>
      <w:szCs w:val="22"/>
    </w:rPr>
  </w:style>
  <w:style w:type="character" w:styleId="Emphasis">
    <w:name w:val="Emphasis"/>
    <w:basedOn w:val="DefaultParagraphFont"/>
    <w:uiPriority w:val="20"/>
    <w:qFormat/>
    <w:rsid w:val="008E70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982">
      <w:bodyDiv w:val="1"/>
      <w:marLeft w:val="0"/>
      <w:marRight w:val="0"/>
      <w:marTop w:val="0"/>
      <w:marBottom w:val="0"/>
      <w:divBdr>
        <w:top w:val="none" w:sz="0" w:space="0" w:color="auto"/>
        <w:left w:val="none" w:sz="0" w:space="0" w:color="auto"/>
        <w:bottom w:val="none" w:sz="0" w:space="0" w:color="auto"/>
        <w:right w:val="none" w:sz="0" w:space="0" w:color="auto"/>
      </w:divBdr>
    </w:div>
    <w:div w:id="48115504">
      <w:bodyDiv w:val="1"/>
      <w:marLeft w:val="0"/>
      <w:marRight w:val="0"/>
      <w:marTop w:val="0"/>
      <w:marBottom w:val="0"/>
      <w:divBdr>
        <w:top w:val="none" w:sz="0" w:space="0" w:color="auto"/>
        <w:left w:val="none" w:sz="0" w:space="0" w:color="auto"/>
        <w:bottom w:val="none" w:sz="0" w:space="0" w:color="auto"/>
        <w:right w:val="none" w:sz="0" w:space="0" w:color="auto"/>
      </w:divBdr>
    </w:div>
    <w:div w:id="84036258">
      <w:bodyDiv w:val="1"/>
      <w:marLeft w:val="0"/>
      <w:marRight w:val="0"/>
      <w:marTop w:val="0"/>
      <w:marBottom w:val="0"/>
      <w:divBdr>
        <w:top w:val="none" w:sz="0" w:space="0" w:color="auto"/>
        <w:left w:val="none" w:sz="0" w:space="0" w:color="auto"/>
        <w:bottom w:val="none" w:sz="0" w:space="0" w:color="auto"/>
        <w:right w:val="none" w:sz="0" w:space="0" w:color="auto"/>
      </w:divBdr>
    </w:div>
    <w:div w:id="85544932">
      <w:bodyDiv w:val="1"/>
      <w:marLeft w:val="0"/>
      <w:marRight w:val="0"/>
      <w:marTop w:val="0"/>
      <w:marBottom w:val="0"/>
      <w:divBdr>
        <w:top w:val="none" w:sz="0" w:space="0" w:color="auto"/>
        <w:left w:val="none" w:sz="0" w:space="0" w:color="auto"/>
        <w:bottom w:val="none" w:sz="0" w:space="0" w:color="auto"/>
        <w:right w:val="none" w:sz="0" w:space="0" w:color="auto"/>
      </w:divBdr>
    </w:div>
    <w:div w:id="85928346">
      <w:bodyDiv w:val="1"/>
      <w:marLeft w:val="0"/>
      <w:marRight w:val="0"/>
      <w:marTop w:val="0"/>
      <w:marBottom w:val="0"/>
      <w:divBdr>
        <w:top w:val="none" w:sz="0" w:space="0" w:color="auto"/>
        <w:left w:val="none" w:sz="0" w:space="0" w:color="auto"/>
        <w:bottom w:val="none" w:sz="0" w:space="0" w:color="auto"/>
        <w:right w:val="none" w:sz="0" w:space="0" w:color="auto"/>
      </w:divBdr>
    </w:div>
    <w:div w:id="87777137">
      <w:bodyDiv w:val="1"/>
      <w:marLeft w:val="0"/>
      <w:marRight w:val="0"/>
      <w:marTop w:val="0"/>
      <w:marBottom w:val="0"/>
      <w:divBdr>
        <w:top w:val="none" w:sz="0" w:space="0" w:color="auto"/>
        <w:left w:val="none" w:sz="0" w:space="0" w:color="auto"/>
        <w:bottom w:val="none" w:sz="0" w:space="0" w:color="auto"/>
        <w:right w:val="none" w:sz="0" w:space="0" w:color="auto"/>
      </w:divBdr>
      <w:divsChild>
        <w:div w:id="1878811835">
          <w:marLeft w:val="0"/>
          <w:marRight w:val="0"/>
          <w:marTop w:val="0"/>
          <w:marBottom w:val="0"/>
          <w:divBdr>
            <w:top w:val="none" w:sz="0" w:space="0" w:color="auto"/>
            <w:left w:val="none" w:sz="0" w:space="0" w:color="auto"/>
            <w:bottom w:val="none" w:sz="0" w:space="0" w:color="auto"/>
            <w:right w:val="none" w:sz="0" w:space="0" w:color="auto"/>
          </w:divBdr>
          <w:divsChild>
            <w:div w:id="1841847982">
              <w:marLeft w:val="0"/>
              <w:marRight w:val="0"/>
              <w:marTop w:val="0"/>
              <w:marBottom w:val="0"/>
              <w:divBdr>
                <w:top w:val="none" w:sz="0" w:space="0" w:color="auto"/>
                <w:left w:val="none" w:sz="0" w:space="0" w:color="auto"/>
                <w:bottom w:val="none" w:sz="0" w:space="0" w:color="auto"/>
                <w:right w:val="none" w:sz="0" w:space="0" w:color="auto"/>
              </w:divBdr>
              <w:divsChild>
                <w:div w:id="1932541055">
                  <w:marLeft w:val="0"/>
                  <w:marRight w:val="0"/>
                  <w:marTop w:val="450"/>
                  <w:marBottom w:val="0"/>
                  <w:divBdr>
                    <w:top w:val="none" w:sz="0" w:space="0" w:color="auto"/>
                    <w:left w:val="none" w:sz="0" w:space="0" w:color="auto"/>
                    <w:bottom w:val="none" w:sz="0" w:space="0" w:color="auto"/>
                    <w:right w:val="none" w:sz="0" w:space="0" w:color="auto"/>
                  </w:divBdr>
                  <w:divsChild>
                    <w:div w:id="1792553100">
                      <w:marLeft w:val="0"/>
                      <w:marRight w:val="0"/>
                      <w:marTop w:val="0"/>
                      <w:marBottom w:val="0"/>
                      <w:divBdr>
                        <w:top w:val="none" w:sz="0" w:space="0" w:color="auto"/>
                        <w:left w:val="none" w:sz="0" w:space="0" w:color="auto"/>
                        <w:bottom w:val="none" w:sz="0" w:space="0" w:color="auto"/>
                        <w:right w:val="none" w:sz="0" w:space="0" w:color="auto"/>
                      </w:divBdr>
                      <w:divsChild>
                        <w:div w:id="413207305">
                          <w:marLeft w:val="0"/>
                          <w:marRight w:val="0"/>
                          <w:marTop w:val="0"/>
                          <w:marBottom w:val="0"/>
                          <w:divBdr>
                            <w:top w:val="none" w:sz="0" w:space="0" w:color="auto"/>
                            <w:left w:val="none" w:sz="0" w:space="0" w:color="auto"/>
                            <w:bottom w:val="none" w:sz="0" w:space="0" w:color="auto"/>
                            <w:right w:val="none" w:sz="0" w:space="0" w:color="auto"/>
                          </w:divBdr>
                          <w:divsChild>
                            <w:div w:id="573593320">
                              <w:marLeft w:val="0"/>
                              <w:marRight w:val="0"/>
                              <w:marTop w:val="0"/>
                              <w:marBottom w:val="810"/>
                              <w:divBdr>
                                <w:top w:val="none" w:sz="0" w:space="0" w:color="auto"/>
                                <w:left w:val="none" w:sz="0" w:space="0" w:color="auto"/>
                                <w:bottom w:val="none" w:sz="0" w:space="0" w:color="auto"/>
                                <w:right w:val="none" w:sz="0" w:space="0" w:color="auto"/>
                              </w:divBdr>
                              <w:divsChild>
                                <w:div w:id="898244905">
                                  <w:marLeft w:val="0"/>
                                  <w:marRight w:val="0"/>
                                  <w:marTop w:val="0"/>
                                  <w:marBottom w:val="0"/>
                                  <w:divBdr>
                                    <w:top w:val="none" w:sz="0" w:space="0" w:color="auto"/>
                                    <w:left w:val="none" w:sz="0" w:space="0" w:color="auto"/>
                                    <w:bottom w:val="none" w:sz="0" w:space="0" w:color="auto"/>
                                    <w:right w:val="none" w:sz="0" w:space="0" w:color="auto"/>
                                  </w:divBdr>
                                  <w:divsChild>
                                    <w:div w:id="16422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90641">
      <w:bodyDiv w:val="1"/>
      <w:marLeft w:val="0"/>
      <w:marRight w:val="0"/>
      <w:marTop w:val="0"/>
      <w:marBottom w:val="0"/>
      <w:divBdr>
        <w:top w:val="none" w:sz="0" w:space="0" w:color="auto"/>
        <w:left w:val="none" w:sz="0" w:space="0" w:color="auto"/>
        <w:bottom w:val="none" w:sz="0" w:space="0" w:color="auto"/>
        <w:right w:val="none" w:sz="0" w:space="0" w:color="auto"/>
      </w:divBdr>
    </w:div>
    <w:div w:id="150369597">
      <w:bodyDiv w:val="1"/>
      <w:marLeft w:val="0"/>
      <w:marRight w:val="0"/>
      <w:marTop w:val="0"/>
      <w:marBottom w:val="0"/>
      <w:divBdr>
        <w:top w:val="none" w:sz="0" w:space="0" w:color="auto"/>
        <w:left w:val="none" w:sz="0" w:space="0" w:color="auto"/>
        <w:bottom w:val="none" w:sz="0" w:space="0" w:color="auto"/>
        <w:right w:val="none" w:sz="0" w:space="0" w:color="auto"/>
      </w:divBdr>
    </w:div>
    <w:div w:id="170226102">
      <w:bodyDiv w:val="1"/>
      <w:marLeft w:val="0"/>
      <w:marRight w:val="0"/>
      <w:marTop w:val="0"/>
      <w:marBottom w:val="0"/>
      <w:divBdr>
        <w:top w:val="none" w:sz="0" w:space="0" w:color="auto"/>
        <w:left w:val="none" w:sz="0" w:space="0" w:color="auto"/>
        <w:bottom w:val="none" w:sz="0" w:space="0" w:color="auto"/>
        <w:right w:val="none" w:sz="0" w:space="0" w:color="auto"/>
      </w:divBdr>
    </w:div>
    <w:div w:id="184710443">
      <w:bodyDiv w:val="1"/>
      <w:marLeft w:val="0"/>
      <w:marRight w:val="0"/>
      <w:marTop w:val="0"/>
      <w:marBottom w:val="0"/>
      <w:divBdr>
        <w:top w:val="none" w:sz="0" w:space="0" w:color="auto"/>
        <w:left w:val="none" w:sz="0" w:space="0" w:color="auto"/>
        <w:bottom w:val="none" w:sz="0" w:space="0" w:color="auto"/>
        <w:right w:val="none" w:sz="0" w:space="0" w:color="auto"/>
      </w:divBdr>
    </w:div>
    <w:div w:id="211236489">
      <w:bodyDiv w:val="1"/>
      <w:marLeft w:val="0"/>
      <w:marRight w:val="0"/>
      <w:marTop w:val="0"/>
      <w:marBottom w:val="0"/>
      <w:divBdr>
        <w:top w:val="none" w:sz="0" w:space="0" w:color="auto"/>
        <w:left w:val="none" w:sz="0" w:space="0" w:color="auto"/>
        <w:bottom w:val="none" w:sz="0" w:space="0" w:color="auto"/>
        <w:right w:val="none" w:sz="0" w:space="0" w:color="auto"/>
      </w:divBdr>
    </w:div>
    <w:div w:id="233976678">
      <w:bodyDiv w:val="1"/>
      <w:marLeft w:val="0"/>
      <w:marRight w:val="0"/>
      <w:marTop w:val="0"/>
      <w:marBottom w:val="0"/>
      <w:divBdr>
        <w:top w:val="none" w:sz="0" w:space="0" w:color="auto"/>
        <w:left w:val="none" w:sz="0" w:space="0" w:color="auto"/>
        <w:bottom w:val="none" w:sz="0" w:space="0" w:color="auto"/>
        <w:right w:val="none" w:sz="0" w:space="0" w:color="auto"/>
      </w:divBdr>
    </w:div>
    <w:div w:id="252276345">
      <w:bodyDiv w:val="1"/>
      <w:marLeft w:val="0"/>
      <w:marRight w:val="0"/>
      <w:marTop w:val="0"/>
      <w:marBottom w:val="0"/>
      <w:divBdr>
        <w:top w:val="none" w:sz="0" w:space="0" w:color="auto"/>
        <w:left w:val="none" w:sz="0" w:space="0" w:color="auto"/>
        <w:bottom w:val="none" w:sz="0" w:space="0" w:color="auto"/>
        <w:right w:val="none" w:sz="0" w:space="0" w:color="auto"/>
      </w:divBdr>
    </w:div>
    <w:div w:id="285432826">
      <w:bodyDiv w:val="1"/>
      <w:marLeft w:val="0"/>
      <w:marRight w:val="0"/>
      <w:marTop w:val="0"/>
      <w:marBottom w:val="0"/>
      <w:divBdr>
        <w:top w:val="none" w:sz="0" w:space="0" w:color="auto"/>
        <w:left w:val="none" w:sz="0" w:space="0" w:color="auto"/>
        <w:bottom w:val="none" w:sz="0" w:space="0" w:color="auto"/>
        <w:right w:val="none" w:sz="0" w:space="0" w:color="auto"/>
      </w:divBdr>
    </w:div>
    <w:div w:id="291863909">
      <w:bodyDiv w:val="1"/>
      <w:marLeft w:val="0"/>
      <w:marRight w:val="0"/>
      <w:marTop w:val="0"/>
      <w:marBottom w:val="0"/>
      <w:divBdr>
        <w:top w:val="none" w:sz="0" w:space="0" w:color="auto"/>
        <w:left w:val="none" w:sz="0" w:space="0" w:color="auto"/>
        <w:bottom w:val="none" w:sz="0" w:space="0" w:color="auto"/>
        <w:right w:val="none" w:sz="0" w:space="0" w:color="auto"/>
      </w:divBdr>
    </w:div>
    <w:div w:id="292489495">
      <w:bodyDiv w:val="1"/>
      <w:marLeft w:val="0"/>
      <w:marRight w:val="0"/>
      <w:marTop w:val="0"/>
      <w:marBottom w:val="0"/>
      <w:divBdr>
        <w:top w:val="none" w:sz="0" w:space="0" w:color="auto"/>
        <w:left w:val="none" w:sz="0" w:space="0" w:color="auto"/>
        <w:bottom w:val="none" w:sz="0" w:space="0" w:color="auto"/>
        <w:right w:val="none" w:sz="0" w:space="0" w:color="auto"/>
      </w:divBdr>
    </w:div>
    <w:div w:id="379550394">
      <w:bodyDiv w:val="1"/>
      <w:marLeft w:val="0"/>
      <w:marRight w:val="0"/>
      <w:marTop w:val="0"/>
      <w:marBottom w:val="0"/>
      <w:divBdr>
        <w:top w:val="none" w:sz="0" w:space="0" w:color="auto"/>
        <w:left w:val="none" w:sz="0" w:space="0" w:color="auto"/>
        <w:bottom w:val="none" w:sz="0" w:space="0" w:color="auto"/>
        <w:right w:val="none" w:sz="0" w:space="0" w:color="auto"/>
      </w:divBdr>
    </w:div>
    <w:div w:id="386346895">
      <w:bodyDiv w:val="1"/>
      <w:marLeft w:val="0"/>
      <w:marRight w:val="0"/>
      <w:marTop w:val="0"/>
      <w:marBottom w:val="0"/>
      <w:divBdr>
        <w:top w:val="none" w:sz="0" w:space="0" w:color="auto"/>
        <w:left w:val="none" w:sz="0" w:space="0" w:color="auto"/>
        <w:bottom w:val="none" w:sz="0" w:space="0" w:color="auto"/>
        <w:right w:val="none" w:sz="0" w:space="0" w:color="auto"/>
      </w:divBdr>
    </w:div>
    <w:div w:id="393242100">
      <w:bodyDiv w:val="1"/>
      <w:marLeft w:val="0"/>
      <w:marRight w:val="0"/>
      <w:marTop w:val="0"/>
      <w:marBottom w:val="0"/>
      <w:divBdr>
        <w:top w:val="none" w:sz="0" w:space="0" w:color="auto"/>
        <w:left w:val="none" w:sz="0" w:space="0" w:color="auto"/>
        <w:bottom w:val="none" w:sz="0" w:space="0" w:color="auto"/>
        <w:right w:val="none" w:sz="0" w:space="0" w:color="auto"/>
      </w:divBdr>
    </w:div>
    <w:div w:id="418448899">
      <w:bodyDiv w:val="1"/>
      <w:marLeft w:val="0"/>
      <w:marRight w:val="0"/>
      <w:marTop w:val="0"/>
      <w:marBottom w:val="0"/>
      <w:divBdr>
        <w:top w:val="none" w:sz="0" w:space="0" w:color="auto"/>
        <w:left w:val="none" w:sz="0" w:space="0" w:color="auto"/>
        <w:bottom w:val="none" w:sz="0" w:space="0" w:color="auto"/>
        <w:right w:val="none" w:sz="0" w:space="0" w:color="auto"/>
      </w:divBdr>
    </w:div>
    <w:div w:id="466051272">
      <w:bodyDiv w:val="1"/>
      <w:marLeft w:val="0"/>
      <w:marRight w:val="0"/>
      <w:marTop w:val="0"/>
      <w:marBottom w:val="0"/>
      <w:divBdr>
        <w:top w:val="none" w:sz="0" w:space="0" w:color="auto"/>
        <w:left w:val="none" w:sz="0" w:space="0" w:color="auto"/>
        <w:bottom w:val="none" w:sz="0" w:space="0" w:color="auto"/>
        <w:right w:val="none" w:sz="0" w:space="0" w:color="auto"/>
      </w:divBdr>
    </w:div>
    <w:div w:id="489449693">
      <w:bodyDiv w:val="1"/>
      <w:marLeft w:val="0"/>
      <w:marRight w:val="0"/>
      <w:marTop w:val="0"/>
      <w:marBottom w:val="0"/>
      <w:divBdr>
        <w:top w:val="none" w:sz="0" w:space="0" w:color="auto"/>
        <w:left w:val="none" w:sz="0" w:space="0" w:color="auto"/>
        <w:bottom w:val="none" w:sz="0" w:space="0" w:color="auto"/>
        <w:right w:val="none" w:sz="0" w:space="0" w:color="auto"/>
      </w:divBdr>
    </w:div>
    <w:div w:id="558050916">
      <w:bodyDiv w:val="1"/>
      <w:marLeft w:val="0"/>
      <w:marRight w:val="0"/>
      <w:marTop w:val="0"/>
      <w:marBottom w:val="0"/>
      <w:divBdr>
        <w:top w:val="none" w:sz="0" w:space="0" w:color="auto"/>
        <w:left w:val="none" w:sz="0" w:space="0" w:color="auto"/>
        <w:bottom w:val="none" w:sz="0" w:space="0" w:color="auto"/>
        <w:right w:val="none" w:sz="0" w:space="0" w:color="auto"/>
      </w:divBdr>
    </w:div>
    <w:div w:id="560478453">
      <w:bodyDiv w:val="1"/>
      <w:marLeft w:val="0"/>
      <w:marRight w:val="0"/>
      <w:marTop w:val="0"/>
      <w:marBottom w:val="0"/>
      <w:divBdr>
        <w:top w:val="none" w:sz="0" w:space="0" w:color="auto"/>
        <w:left w:val="none" w:sz="0" w:space="0" w:color="auto"/>
        <w:bottom w:val="none" w:sz="0" w:space="0" w:color="auto"/>
        <w:right w:val="none" w:sz="0" w:space="0" w:color="auto"/>
      </w:divBdr>
    </w:div>
    <w:div w:id="582832844">
      <w:bodyDiv w:val="1"/>
      <w:marLeft w:val="0"/>
      <w:marRight w:val="0"/>
      <w:marTop w:val="0"/>
      <w:marBottom w:val="0"/>
      <w:divBdr>
        <w:top w:val="none" w:sz="0" w:space="0" w:color="auto"/>
        <w:left w:val="none" w:sz="0" w:space="0" w:color="auto"/>
        <w:bottom w:val="none" w:sz="0" w:space="0" w:color="auto"/>
        <w:right w:val="none" w:sz="0" w:space="0" w:color="auto"/>
      </w:divBdr>
      <w:divsChild>
        <w:div w:id="1224944987">
          <w:marLeft w:val="-225"/>
          <w:marRight w:val="-225"/>
          <w:marTop w:val="0"/>
          <w:marBottom w:val="0"/>
          <w:divBdr>
            <w:top w:val="none" w:sz="0" w:space="0" w:color="auto"/>
            <w:left w:val="none" w:sz="0" w:space="0" w:color="auto"/>
            <w:bottom w:val="none" w:sz="0" w:space="0" w:color="auto"/>
            <w:right w:val="none" w:sz="0" w:space="0" w:color="auto"/>
          </w:divBdr>
          <w:divsChild>
            <w:div w:id="255134205">
              <w:marLeft w:val="1212"/>
              <w:marRight w:val="0"/>
              <w:marTop w:val="0"/>
              <w:marBottom w:val="0"/>
              <w:divBdr>
                <w:top w:val="none" w:sz="0" w:space="0" w:color="auto"/>
                <w:left w:val="none" w:sz="0" w:space="0" w:color="auto"/>
                <w:bottom w:val="none" w:sz="0" w:space="0" w:color="auto"/>
                <w:right w:val="none" w:sz="0" w:space="0" w:color="auto"/>
              </w:divBdr>
            </w:div>
          </w:divsChild>
        </w:div>
        <w:div w:id="692653358">
          <w:marLeft w:val="-225"/>
          <w:marRight w:val="-225"/>
          <w:marTop w:val="0"/>
          <w:marBottom w:val="0"/>
          <w:divBdr>
            <w:top w:val="none" w:sz="0" w:space="0" w:color="auto"/>
            <w:left w:val="none" w:sz="0" w:space="0" w:color="auto"/>
            <w:bottom w:val="none" w:sz="0" w:space="0" w:color="auto"/>
            <w:right w:val="none" w:sz="0" w:space="0" w:color="auto"/>
          </w:divBdr>
          <w:divsChild>
            <w:div w:id="130485353">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592931414">
      <w:bodyDiv w:val="1"/>
      <w:marLeft w:val="0"/>
      <w:marRight w:val="0"/>
      <w:marTop w:val="0"/>
      <w:marBottom w:val="0"/>
      <w:divBdr>
        <w:top w:val="none" w:sz="0" w:space="0" w:color="auto"/>
        <w:left w:val="none" w:sz="0" w:space="0" w:color="auto"/>
        <w:bottom w:val="none" w:sz="0" w:space="0" w:color="auto"/>
        <w:right w:val="none" w:sz="0" w:space="0" w:color="auto"/>
      </w:divBdr>
    </w:div>
    <w:div w:id="619150062">
      <w:bodyDiv w:val="1"/>
      <w:marLeft w:val="0"/>
      <w:marRight w:val="0"/>
      <w:marTop w:val="0"/>
      <w:marBottom w:val="0"/>
      <w:divBdr>
        <w:top w:val="none" w:sz="0" w:space="0" w:color="auto"/>
        <w:left w:val="none" w:sz="0" w:space="0" w:color="auto"/>
        <w:bottom w:val="none" w:sz="0" w:space="0" w:color="auto"/>
        <w:right w:val="none" w:sz="0" w:space="0" w:color="auto"/>
      </w:divBdr>
      <w:divsChild>
        <w:div w:id="1192110721">
          <w:marLeft w:val="0"/>
          <w:marRight w:val="0"/>
          <w:marTop w:val="0"/>
          <w:marBottom w:val="0"/>
          <w:divBdr>
            <w:top w:val="none" w:sz="0" w:space="0" w:color="auto"/>
            <w:left w:val="none" w:sz="0" w:space="0" w:color="auto"/>
            <w:bottom w:val="none" w:sz="0" w:space="0" w:color="auto"/>
            <w:right w:val="none" w:sz="0" w:space="0" w:color="auto"/>
          </w:divBdr>
          <w:divsChild>
            <w:div w:id="562183421">
              <w:marLeft w:val="0"/>
              <w:marRight w:val="0"/>
              <w:marTop w:val="0"/>
              <w:marBottom w:val="0"/>
              <w:divBdr>
                <w:top w:val="none" w:sz="0" w:space="0" w:color="auto"/>
                <w:left w:val="none" w:sz="0" w:space="0" w:color="auto"/>
                <w:bottom w:val="none" w:sz="0" w:space="0" w:color="auto"/>
                <w:right w:val="none" w:sz="0" w:space="0" w:color="auto"/>
              </w:divBdr>
              <w:divsChild>
                <w:div w:id="1061178134">
                  <w:marLeft w:val="0"/>
                  <w:marRight w:val="0"/>
                  <w:marTop w:val="450"/>
                  <w:marBottom w:val="0"/>
                  <w:divBdr>
                    <w:top w:val="none" w:sz="0" w:space="0" w:color="auto"/>
                    <w:left w:val="none" w:sz="0" w:space="0" w:color="auto"/>
                    <w:bottom w:val="none" w:sz="0" w:space="0" w:color="auto"/>
                    <w:right w:val="none" w:sz="0" w:space="0" w:color="auto"/>
                  </w:divBdr>
                  <w:divsChild>
                    <w:div w:id="83383597">
                      <w:marLeft w:val="0"/>
                      <w:marRight w:val="0"/>
                      <w:marTop w:val="0"/>
                      <w:marBottom w:val="0"/>
                      <w:divBdr>
                        <w:top w:val="none" w:sz="0" w:space="0" w:color="auto"/>
                        <w:left w:val="none" w:sz="0" w:space="0" w:color="auto"/>
                        <w:bottom w:val="none" w:sz="0" w:space="0" w:color="auto"/>
                        <w:right w:val="none" w:sz="0" w:space="0" w:color="auto"/>
                      </w:divBdr>
                      <w:divsChild>
                        <w:div w:id="1307659776">
                          <w:marLeft w:val="0"/>
                          <w:marRight w:val="0"/>
                          <w:marTop w:val="0"/>
                          <w:marBottom w:val="0"/>
                          <w:divBdr>
                            <w:top w:val="none" w:sz="0" w:space="0" w:color="auto"/>
                            <w:left w:val="none" w:sz="0" w:space="0" w:color="auto"/>
                            <w:bottom w:val="none" w:sz="0" w:space="0" w:color="auto"/>
                            <w:right w:val="none" w:sz="0" w:space="0" w:color="auto"/>
                          </w:divBdr>
                          <w:divsChild>
                            <w:div w:id="888302715">
                              <w:marLeft w:val="0"/>
                              <w:marRight w:val="0"/>
                              <w:marTop w:val="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03071">
      <w:bodyDiv w:val="1"/>
      <w:marLeft w:val="0"/>
      <w:marRight w:val="0"/>
      <w:marTop w:val="0"/>
      <w:marBottom w:val="0"/>
      <w:divBdr>
        <w:top w:val="none" w:sz="0" w:space="0" w:color="auto"/>
        <w:left w:val="none" w:sz="0" w:space="0" w:color="auto"/>
        <w:bottom w:val="none" w:sz="0" w:space="0" w:color="auto"/>
        <w:right w:val="none" w:sz="0" w:space="0" w:color="auto"/>
      </w:divBdr>
    </w:div>
    <w:div w:id="645936845">
      <w:bodyDiv w:val="1"/>
      <w:marLeft w:val="0"/>
      <w:marRight w:val="0"/>
      <w:marTop w:val="0"/>
      <w:marBottom w:val="0"/>
      <w:divBdr>
        <w:top w:val="none" w:sz="0" w:space="0" w:color="auto"/>
        <w:left w:val="none" w:sz="0" w:space="0" w:color="auto"/>
        <w:bottom w:val="none" w:sz="0" w:space="0" w:color="auto"/>
        <w:right w:val="none" w:sz="0" w:space="0" w:color="auto"/>
      </w:divBdr>
    </w:div>
    <w:div w:id="668605519">
      <w:bodyDiv w:val="1"/>
      <w:marLeft w:val="0"/>
      <w:marRight w:val="0"/>
      <w:marTop w:val="0"/>
      <w:marBottom w:val="0"/>
      <w:divBdr>
        <w:top w:val="none" w:sz="0" w:space="0" w:color="auto"/>
        <w:left w:val="none" w:sz="0" w:space="0" w:color="auto"/>
        <w:bottom w:val="none" w:sz="0" w:space="0" w:color="auto"/>
        <w:right w:val="none" w:sz="0" w:space="0" w:color="auto"/>
      </w:divBdr>
    </w:div>
    <w:div w:id="722295920">
      <w:bodyDiv w:val="1"/>
      <w:marLeft w:val="0"/>
      <w:marRight w:val="0"/>
      <w:marTop w:val="0"/>
      <w:marBottom w:val="0"/>
      <w:divBdr>
        <w:top w:val="none" w:sz="0" w:space="0" w:color="auto"/>
        <w:left w:val="none" w:sz="0" w:space="0" w:color="auto"/>
        <w:bottom w:val="none" w:sz="0" w:space="0" w:color="auto"/>
        <w:right w:val="none" w:sz="0" w:space="0" w:color="auto"/>
      </w:divBdr>
    </w:div>
    <w:div w:id="727647562">
      <w:bodyDiv w:val="1"/>
      <w:marLeft w:val="0"/>
      <w:marRight w:val="0"/>
      <w:marTop w:val="0"/>
      <w:marBottom w:val="0"/>
      <w:divBdr>
        <w:top w:val="none" w:sz="0" w:space="0" w:color="auto"/>
        <w:left w:val="none" w:sz="0" w:space="0" w:color="auto"/>
        <w:bottom w:val="none" w:sz="0" w:space="0" w:color="auto"/>
        <w:right w:val="none" w:sz="0" w:space="0" w:color="auto"/>
      </w:divBdr>
    </w:div>
    <w:div w:id="741298821">
      <w:bodyDiv w:val="1"/>
      <w:marLeft w:val="0"/>
      <w:marRight w:val="0"/>
      <w:marTop w:val="0"/>
      <w:marBottom w:val="0"/>
      <w:divBdr>
        <w:top w:val="none" w:sz="0" w:space="0" w:color="auto"/>
        <w:left w:val="none" w:sz="0" w:space="0" w:color="auto"/>
        <w:bottom w:val="none" w:sz="0" w:space="0" w:color="auto"/>
        <w:right w:val="none" w:sz="0" w:space="0" w:color="auto"/>
      </w:divBdr>
    </w:div>
    <w:div w:id="785973360">
      <w:bodyDiv w:val="1"/>
      <w:marLeft w:val="0"/>
      <w:marRight w:val="0"/>
      <w:marTop w:val="0"/>
      <w:marBottom w:val="0"/>
      <w:divBdr>
        <w:top w:val="none" w:sz="0" w:space="0" w:color="auto"/>
        <w:left w:val="none" w:sz="0" w:space="0" w:color="auto"/>
        <w:bottom w:val="none" w:sz="0" w:space="0" w:color="auto"/>
        <w:right w:val="none" w:sz="0" w:space="0" w:color="auto"/>
      </w:divBdr>
      <w:divsChild>
        <w:div w:id="1666589379">
          <w:marLeft w:val="0"/>
          <w:marRight w:val="0"/>
          <w:marTop w:val="0"/>
          <w:marBottom w:val="0"/>
          <w:divBdr>
            <w:top w:val="none" w:sz="0" w:space="0" w:color="auto"/>
            <w:left w:val="none" w:sz="0" w:space="0" w:color="auto"/>
            <w:bottom w:val="none" w:sz="0" w:space="0" w:color="auto"/>
            <w:right w:val="none" w:sz="0" w:space="0" w:color="auto"/>
          </w:divBdr>
          <w:divsChild>
            <w:div w:id="1655908477">
              <w:marLeft w:val="0"/>
              <w:marRight w:val="0"/>
              <w:marTop w:val="0"/>
              <w:marBottom w:val="0"/>
              <w:divBdr>
                <w:top w:val="none" w:sz="0" w:space="0" w:color="auto"/>
                <w:left w:val="none" w:sz="0" w:space="0" w:color="auto"/>
                <w:bottom w:val="none" w:sz="0" w:space="0" w:color="auto"/>
                <w:right w:val="none" w:sz="0" w:space="0" w:color="auto"/>
              </w:divBdr>
              <w:divsChild>
                <w:div w:id="60644004">
                  <w:marLeft w:val="0"/>
                  <w:marRight w:val="0"/>
                  <w:marTop w:val="450"/>
                  <w:marBottom w:val="0"/>
                  <w:divBdr>
                    <w:top w:val="none" w:sz="0" w:space="0" w:color="auto"/>
                    <w:left w:val="none" w:sz="0" w:space="0" w:color="auto"/>
                    <w:bottom w:val="none" w:sz="0" w:space="0" w:color="auto"/>
                    <w:right w:val="none" w:sz="0" w:space="0" w:color="auto"/>
                  </w:divBdr>
                  <w:divsChild>
                    <w:div w:id="1678533772">
                      <w:marLeft w:val="0"/>
                      <w:marRight w:val="0"/>
                      <w:marTop w:val="0"/>
                      <w:marBottom w:val="0"/>
                      <w:divBdr>
                        <w:top w:val="none" w:sz="0" w:space="0" w:color="auto"/>
                        <w:left w:val="none" w:sz="0" w:space="0" w:color="auto"/>
                        <w:bottom w:val="none" w:sz="0" w:space="0" w:color="auto"/>
                        <w:right w:val="none" w:sz="0" w:space="0" w:color="auto"/>
                      </w:divBdr>
                      <w:divsChild>
                        <w:div w:id="367075426">
                          <w:marLeft w:val="0"/>
                          <w:marRight w:val="0"/>
                          <w:marTop w:val="0"/>
                          <w:marBottom w:val="0"/>
                          <w:divBdr>
                            <w:top w:val="none" w:sz="0" w:space="0" w:color="auto"/>
                            <w:left w:val="none" w:sz="0" w:space="0" w:color="auto"/>
                            <w:bottom w:val="none" w:sz="0" w:space="0" w:color="auto"/>
                            <w:right w:val="none" w:sz="0" w:space="0" w:color="auto"/>
                          </w:divBdr>
                          <w:divsChild>
                            <w:div w:id="1918392333">
                              <w:marLeft w:val="0"/>
                              <w:marRight w:val="0"/>
                              <w:marTop w:val="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160672">
      <w:bodyDiv w:val="1"/>
      <w:marLeft w:val="0"/>
      <w:marRight w:val="0"/>
      <w:marTop w:val="0"/>
      <w:marBottom w:val="0"/>
      <w:divBdr>
        <w:top w:val="none" w:sz="0" w:space="0" w:color="auto"/>
        <w:left w:val="none" w:sz="0" w:space="0" w:color="auto"/>
        <w:bottom w:val="none" w:sz="0" w:space="0" w:color="auto"/>
        <w:right w:val="none" w:sz="0" w:space="0" w:color="auto"/>
      </w:divBdr>
    </w:div>
    <w:div w:id="860778209">
      <w:bodyDiv w:val="1"/>
      <w:marLeft w:val="0"/>
      <w:marRight w:val="0"/>
      <w:marTop w:val="0"/>
      <w:marBottom w:val="0"/>
      <w:divBdr>
        <w:top w:val="none" w:sz="0" w:space="0" w:color="auto"/>
        <w:left w:val="none" w:sz="0" w:space="0" w:color="auto"/>
        <w:bottom w:val="none" w:sz="0" w:space="0" w:color="auto"/>
        <w:right w:val="none" w:sz="0" w:space="0" w:color="auto"/>
      </w:divBdr>
    </w:div>
    <w:div w:id="898247792">
      <w:bodyDiv w:val="1"/>
      <w:marLeft w:val="0"/>
      <w:marRight w:val="0"/>
      <w:marTop w:val="0"/>
      <w:marBottom w:val="0"/>
      <w:divBdr>
        <w:top w:val="none" w:sz="0" w:space="0" w:color="auto"/>
        <w:left w:val="none" w:sz="0" w:space="0" w:color="auto"/>
        <w:bottom w:val="none" w:sz="0" w:space="0" w:color="auto"/>
        <w:right w:val="none" w:sz="0" w:space="0" w:color="auto"/>
      </w:divBdr>
    </w:div>
    <w:div w:id="932012191">
      <w:bodyDiv w:val="1"/>
      <w:marLeft w:val="0"/>
      <w:marRight w:val="0"/>
      <w:marTop w:val="0"/>
      <w:marBottom w:val="0"/>
      <w:divBdr>
        <w:top w:val="none" w:sz="0" w:space="0" w:color="auto"/>
        <w:left w:val="none" w:sz="0" w:space="0" w:color="auto"/>
        <w:bottom w:val="none" w:sz="0" w:space="0" w:color="auto"/>
        <w:right w:val="none" w:sz="0" w:space="0" w:color="auto"/>
      </w:divBdr>
    </w:div>
    <w:div w:id="1026634804">
      <w:bodyDiv w:val="1"/>
      <w:marLeft w:val="0"/>
      <w:marRight w:val="0"/>
      <w:marTop w:val="0"/>
      <w:marBottom w:val="0"/>
      <w:divBdr>
        <w:top w:val="none" w:sz="0" w:space="0" w:color="auto"/>
        <w:left w:val="none" w:sz="0" w:space="0" w:color="auto"/>
        <w:bottom w:val="none" w:sz="0" w:space="0" w:color="auto"/>
        <w:right w:val="none" w:sz="0" w:space="0" w:color="auto"/>
      </w:divBdr>
      <w:divsChild>
        <w:div w:id="1524905392">
          <w:marLeft w:val="0"/>
          <w:marRight w:val="0"/>
          <w:marTop w:val="0"/>
          <w:marBottom w:val="0"/>
          <w:divBdr>
            <w:top w:val="none" w:sz="0" w:space="0" w:color="auto"/>
            <w:left w:val="none" w:sz="0" w:space="0" w:color="auto"/>
            <w:bottom w:val="none" w:sz="0" w:space="0" w:color="auto"/>
            <w:right w:val="none" w:sz="0" w:space="0" w:color="auto"/>
          </w:divBdr>
          <w:divsChild>
            <w:div w:id="1261138027">
              <w:marLeft w:val="0"/>
              <w:marRight w:val="0"/>
              <w:marTop w:val="0"/>
              <w:marBottom w:val="0"/>
              <w:divBdr>
                <w:top w:val="none" w:sz="0" w:space="0" w:color="auto"/>
                <w:left w:val="none" w:sz="0" w:space="0" w:color="auto"/>
                <w:bottom w:val="none" w:sz="0" w:space="0" w:color="auto"/>
                <w:right w:val="none" w:sz="0" w:space="0" w:color="auto"/>
              </w:divBdr>
              <w:divsChild>
                <w:div w:id="694380069">
                  <w:marLeft w:val="0"/>
                  <w:marRight w:val="0"/>
                  <w:marTop w:val="450"/>
                  <w:marBottom w:val="0"/>
                  <w:divBdr>
                    <w:top w:val="none" w:sz="0" w:space="0" w:color="auto"/>
                    <w:left w:val="none" w:sz="0" w:space="0" w:color="auto"/>
                    <w:bottom w:val="none" w:sz="0" w:space="0" w:color="auto"/>
                    <w:right w:val="none" w:sz="0" w:space="0" w:color="auto"/>
                  </w:divBdr>
                  <w:divsChild>
                    <w:div w:id="955409813">
                      <w:marLeft w:val="0"/>
                      <w:marRight w:val="0"/>
                      <w:marTop w:val="0"/>
                      <w:marBottom w:val="0"/>
                      <w:divBdr>
                        <w:top w:val="none" w:sz="0" w:space="0" w:color="auto"/>
                        <w:left w:val="none" w:sz="0" w:space="0" w:color="auto"/>
                        <w:bottom w:val="none" w:sz="0" w:space="0" w:color="auto"/>
                        <w:right w:val="none" w:sz="0" w:space="0" w:color="auto"/>
                      </w:divBdr>
                      <w:divsChild>
                        <w:div w:id="179785415">
                          <w:marLeft w:val="0"/>
                          <w:marRight w:val="0"/>
                          <w:marTop w:val="0"/>
                          <w:marBottom w:val="0"/>
                          <w:divBdr>
                            <w:top w:val="none" w:sz="0" w:space="0" w:color="auto"/>
                            <w:left w:val="none" w:sz="0" w:space="0" w:color="auto"/>
                            <w:bottom w:val="none" w:sz="0" w:space="0" w:color="auto"/>
                            <w:right w:val="none" w:sz="0" w:space="0" w:color="auto"/>
                          </w:divBdr>
                          <w:divsChild>
                            <w:div w:id="1790540742">
                              <w:marLeft w:val="0"/>
                              <w:marRight w:val="0"/>
                              <w:marTop w:val="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115852">
      <w:bodyDiv w:val="1"/>
      <w:marLeft w:val="0"/>
      <w:marRight w:val="0"/>
      <w:marTop w:val="0"/>
      <w:marBottom w:val="0"/>
      <w:divBdr>
        <w:top w:val="none" w:sz="0" w:space="0" w:color="auto"/>
        <w:left w:val="none" w:sz="0" w:space="0" w:color="auto"/>
        <w:bottom w:val="none" w:sz="0" w:space="0" w:color="auto"/>
        <w:right w:val="none" w:sz="0" w:space="0" w:color="auto"/>
      </w:divBdr>
    </w:div>
    <w:div w:id="1119035900">
      <w:bodyDiv w:val="1"/>
      <w:marLeft w:val="0"/>
      <w:marRight w:val="0"/>
      <w:marTop w:val="0"/>
      <w:marBottom w:val="0"/>
      <w:divBdr>
        <w:top w:val="none" w:sz="0" w:space="0" w:color="auto"/>
        <w:left w:val="none" w:sz="0" w:space="0" w:color="auto"/>
        <w:bottom w:val="none" w:sz="0" w:space="0" w:color="auto"/>
        <w:right w:val="none" w:sz="0" w:space="0" w:color="auto"/>
      </w:divBdr>
    </w:div>
    <w:div w:id="1132096029">
      <w:bodyDiv w:val="1"/>
      <w:marLeft w:val="0"/>
      <w:marRight w:val="0"/>
      <w:marTop w:val="0"/>
      <w:marBottom w:val="0"/>
      <w:divBdr>
        <w:top w:val="none" w:sz="0" w:space="0" w:color="auto"/>
        <w:left w:val="none" w:sz="0" w:space="0" w:color="auto"/>
        <w:bottom w:val="none" w:sz="0" w:space="0" w:color="auto"/>
        <w:right w:val="none" w:sz="0" w:space="0" w:color="auto"/>
      </w:divBdr>
    </w:div>
    <w:div w:id="1232815657">
      <w:bodyDiv w:val="1"/>
      <w:marLeft w:val="0"/>
      <w:marRight w:val="0"/>
      <w:marTop w:val="0"/>
      <w:marBottom w:val="0"/>
      <w:divBdr>
        <w:top w:val="none" w:sz="0" w:space="0" w:color="auto"/>
        <w:left w:val="none" w:sz="0" w:space="0" w:color="auto"/>
        <w:bottom w:val="none" w:sz="0" w:space="0" w:color="auto"/>
        <w:right w:val="none" w:sz="0" w:space="0" w:color="auto"/>
      </w:divBdr>
      <w:divsChild>
        <w:div w:id="1284191201">
          <w:marLeft w:val="0"/>
          <w:marRight w:val="0"/>
          <w:marTop w:val="0"/>
          <w:marBottom w:val="0"/>
          <w:divBdr>
            <w:top w:val="none" w:sz="0" w:space="0" w:color="auto"/>
            <w:left w:val="none" w:sz="0" w:space="0" w:color="auto"/>
            <w:bottom w:val="none" w:sz="0" w:space="0" w:color="auto"/>
            <w:right w:val="none" w:sz="0" w:space="0" w:color="auto"/>
          </w:divBdr>
          <w:divsChild>
            <w:div w:id="1260287283">
              <w:marLeft w:val="0"/>
              <w:marRight w:val="0"/>
              <w:marTop w:val="0"/>
              <w:marBottom w:val="0"/>
              <w:divBdr>
                <w:top w:val="none" w:sz="0" w:space="0" w:color="auto"/>
                <w:left w:val="none" w:sz="0" w:space="0" w:color="auto"/>
                <w:bottom w:val="none" w:sz="0" w:space="0" w:color="auto"/>
                <w:right w:val="none" w:sz="0" w:space="0" w:color="auto"/>
              </w:divBdr>
              <w:divsChild>
                <w:div w:id="536086827">
                  <w:marLeft w:val="0"/>
                  <w:marRight w:val="0"/>
                  <w:marTop w:val="450"/>
                  <w:marBottom w:val="0"/>
                  <w:divBdr>
                    <w:top w:val="none" w:sz="0" w:space="0" w:color="auto"/>
                    <w:left w:val="none" w:sz="0" w:space="0" w:color="auto"/>
                    <w:bottom w:val="none" w:sz="0" w:space="0" w:color="auto"/>
                    <w:right w:val="none" w:sz="0" w:space="0" w:color="auto"/>
                  </w:divBdr>
                  <w:divsChild>
                    <w:div w:id="233129216">
                      <w:marLeft w:val="0"/>
                      <w:marRight w:val="0"/>
                      <w:marTop w:val="0"/>
                      <w:marBottom w:val="0"/>
                      <w:divBdr>
                        <w:top w:val="none" w:sz="0" w:space="0" w:color="auto"/>
                        <w:left w:val="none" w:sz="0" w:space="0" w:color="auto"/>
                        <w:bottom w:val="none" w:sz="0" w:space="0" w:color="auto"/>
                        <w:right w:val="none" w:sz="0" w:space="0" w:color="auto"/>
                      </w:divBdr>
                      <w:divsChild>
                        <w:div w:id="533078395">
                          <w:marLeft w:val="0"/>
                          <w:marRight w:val="0"/>
                          <w:marTop w:val="0"/>
                          <w:marBottom w:val="0"/>
                          <w:divBdr>
                            <w:top w:val="none" w:sz="0" w:space="0" w:color="auto"/>
                            <w:left w:val="none" w:sz="0" w:space="0" w:color="auto"/>
                            <w:bottom w:val="none" w:sz="0" w:space="0" w:color="auto"/>
                            <w:right w:val="none" w:sz="0" w:space="0" w:color="auto"/>
                          </w:divBdr>
                          <w:divsChild>
                            <w:div w:id="2121608496">
                              <w:marLeft w:val="0"/>
                              <w:marRight w:val="0"/>
                              <w:marTop w:val="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534271">
      <w:bodyDiv w:val="1"/>
      <w:marLeft w:val="0"/>
      <w:marRight w:val="0"/>
      <w:marTop w:val="0"/>
      <w:marBottom w:val="0"/>
      <w:divBdr>
        <w:top w:val="none" w:sz="0" w:space="0" w:color="auto"/>
        <w:left w:val="none" w:sz="0" w:space="0" w:color="auto"/>
        <w:bottom w:val="none" w:sz="0" w:space="0" w:color="auto"/>
        <w:right w:val="none" w:sz="0" w:space="0" w:color="auto"/>
      </w:divBdr>
    </w:div>
    <w:div w:id="1418357451">
      <w:bodyDiv w:val="1"/>
      <w:marLeft w:val="0"/>
      <w:marRight w:val="0"/>
      <w:marTop w:val="0"/>
      <w:marBottom w:val="0"/>
      <w:divBdr>
        <w:top w:val="none" w:sz="0" w:space="0" w:color="auto"/>
        <w:left w:val="none" w:sz="0" w:space="0" w:color="auto"/>
        <w:bottom w:val="none" w:sz="0" w:space="0" w:color="auto"/>
        <w:right w:val="none" w:sz="0" w:space="0" w:color="auto"/>
      </w:divBdr>
    </w:div>
    <w:div w:id="1516535190">
      <w:bodyDiv w:val="1"/>
      <w:marLeft w:val="0"/>
      <w:marRight w:val="0"/>
      <w:marTop w:val="0"/>
      <w:marBottom w:val="0"/>
      <w:divBdr>
        <w:top w:val="none" w:sz="0" w:space="0" w:color="auto"/>
        <w:left w:val="none" w:sz="0" w:space="0" w:color="auto"/>
        <w:bottom w:val="none" w:sz="0" w:space="0" w:color="auto"/>
        <w:right w:val="none" w:sz="0" w:space="0" w:color="auto"/>
      </w:divBdr>
    </w:div>
    <w:div w:id="1591354725">
      <w:bodyDiv w:val="1"/>
      <w:marLeft w:val="0"/>
      <w:marRight w:val="0"/>
      <w:marTop w:val="0"/>
      <w:marBottom w:val="0"/>
      <w:divBdr>
        <w:top w:val="none" w:sz="0" w:space="0" w:color="auto"/>
        <w:left w:val="none" w:sz="0" w:space="0" w:color="auto"/>
        <w:bottom w:val="none" w:sz="0" w:space="0" w:color="auto"/>
        <w:right w:val="none" w:sz="0" w:space="0" w:color="auto"/>
      </w:divBdr>
    </w:div>
    <w:div w:id="1727334298">
      <w:bodyDiv w:val="1"/>
      <w:marLeft w:val="0"/>
      <w:marRight w:val="0"/>
      <w:marTop w:val="0"/>
      <w:marBottom w:val="0"/>
      <w:divBdr>
        <w:top w:val="none" w:sz="0" w:space="0" w:color="auto"/>
        <w:left w:val="none" w:sz="0" w:space="0" w:color="auto"/>
        <w:bottom w:val="none" w:sz="0" w:space="0" w:color="auto"/>
        <w:right w:val="none" w:sz="0" w:space="0" w:color="auto"/>
      </w:divBdr>
    </w:div>
    <w:div w:id="1747805778">
      <w:bodyDiv w:val="1"/>
      <w:marLeft w:val="0"/>
      <w:marRight w:val="0"/>
      <w:marTop w:val="0"/>
      <w:marBottom w:val="0"/>
      <w:divBdr>
        <w:top w:val="none" w:sz="0" w:space="0" w:color="auto"/>
        <w:left w:val="none" w:sz="0" w:space="0" w:color="auto"/>
        <w:bottom w:val="none" w:sz="0" w:space="0" w:color="auto"/>
        <w:right w:val="none" w:sz="0" w:space="0" w:color="auto"/>
      </w:divBdr>
    </w:div>
    <w:div w:id="1845514767">
      <w:bodyDiv w:val="1"/>
      <w:marLeft w:val="0"/>
      <w:marRight w:val="0"/>
      <w:marTop w:val="0"/>
      <w:marBottom w:val="0"/>
      <w:divBdr>
        <w:top w:val="none" w:sz="0" w:space="0" w:color="auto"/>
        <w:left w:val="none" w:sz="0" w:space="0" w:color="auto"/>
        <w:bottom w:val="none" w:sz="0" w:space="0" w:color="auto"/>
        <w:right w:val="none" w:sz="0" w:space="0" w:color="auto"/>
      </w:divBdr>
    </w:div>
    <w:div w:id="2026712498">
      <w:bodyDiv w:val="1"/>
      <w:marLeft w:val="0"/>
      <w:marRight w:val="0"/>
      <w:marTop w:val="0"/>
      <w:marBottom w:val="0"/>
      <w:divBdr>
        <w:top w:val="none" w:sz="0" w:space="0" w:color="auto"/>
        <w:left w:val="none" w:sz="0" w:space="0" w:color="auto"/>
        <w:bottom w:val="none" w:sz="0" w:space="0" w:color="auto"/>
        <w:right w:val="none" w:sz="0" w:space="0" w:color="auto"/>
      </w:divBdr>
    </w:div>
    <w:div w:id="2074812213">
      <w:bodyDiv w:val="1"/>
      <w:marLeft w:val="0"/>
      <w:marRight w:val="0"/>
      <w:marTop w:val="0"/>
      <w:marBottom w:val="0"/>
      <w:divBdr>
        <w:top w:val="none" w:sz="0" w:space="0" w:color="auto"/>
        <w:left w:val="none" w:sz="0" w:space="0" w:color="auto"/>
        <w:bottom w:val="none" w:sz="0" w:space="0" w:color="auto"/>
        <w:right w:val="none" w:sz="0" w:space="0" w:color="auto"/>
      </w:divBdr>
    </w:div>
    <w:div w:id="2118939525">
      <w:bodyDiv w:val="1"/>
      <w:marLeft w:val="0"/>
      <w:marRight w:val="0"/>
      <w:marTop w:val="0"/>
      <w:marBottom w:val="0"/>
      <w:divBdr>
        <w:top w:val="none" w:sz="0" w:space="0" w:color="auto"/>
        <w:left w:val="none" w:sz="0" w:space="0" w:color="auto"/>
        <w:bottom w:val="none" w:sz="0" w:space="0" w:color="auto"/>
        <w:right w:val="none" w:sz="0" w:space="0" w:color="auto"/>
      </w:divBdr>
    </w:div>
    <w:div w:id="214076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dingage.org/sites/default/files/5.21.19%20Observation%20Coalition%20Statment%20for%20the%20Record.pdf" TargetMode="External"/><Relationship Id="rId13" Type="http://schemas.openxmlformats.org/officeDocument/2006/relationships/hyperlink" Target="https://www.cms.gov/newsroom/fact-sheets/proposed-fiscal-year-2020-payment-and-policy-changes-medicare-skilled-nursing-facilities-cms-1718-p" TargetMode="External"/><Relationship Id="rId18" Type="http://schemas.openxmlformats.org/officeDocument/2006/relationships/hyperlink" Target="https://leadingage.org/regulation/cms-final-rule-increases-flexibility-pace-organizations" TargetMode="External"/><Relationship Id="rId26" Type="http://schemas.openxmlformats.org/officeDocument/2006/relationships/hyperlink" Target="http://www.leadingage.org/weapons-policies-aging-services-organizations" TargetMode="External"/><Relationship Id="rId3" Type="http://schemas.openxmlformats.org/officeDocument/2006/relationships/styles" Target="styles.xml"/><Relationship Id="rId21" Type="http://schemas.openxmlformats.org/officeDocument/2006/relationships/hyperlink" Target="https://learninghub.leadingage.org/courses/are-you-clinically-ready-for-pdpm" TargetMode="External"/><Relationship Id="rId7" Type="http://schemas.openxmlformats.org/officeDocument/2006/relationships/endnotes" Target="endnotes.xml"/><Relationship Id="rId12" Type="http://schemas.openxmlformats.org/officeDocument/2006/relationships/hyperlink" Target="https://s3.amazonaws.com/public-inspection.federalregister.gov/2019-08181.pdf" TargetMode="External"/><Relationship Id="rId17" Type="http://schemas.openxmlformats.org/officeDocument/2006/relationships/hyperlink" Target="https://www.federalregister.gov/documents/2019/06/03/2019-11087/medicare-and-medicaid-programs-programs-of-all-inclusive-care-for-the-elderly-pace" TargetMode="External"/><Relationship Id="rId25" Type="http://schemas.openxmlformats.org/officeDocument/2006/relationships/hyperlink" Target="http://www.leadingage.org/legislation/medical-marijuana-what-you-need-know" TargetMode="External"/><Relationship Id="rId2" Type="http://schemas.openxmlformats.org/officeDocument/2006/relationships/numbering" Target="numbering.xml"/><Relationship Id="rId16" Type="http://schemas.openxmlformats.org/officeDocument/2006/relationships/hyperlink" Target="https://www.cms.gov/newsroom/fact-sheets/fiscal-year-2020-hospice-payment-rate-update-proposed-rule-cms-1714-p" TargetMode="External"/><Relationship Id="rId20" Type="http://schemas.openxmlformats.org/officeDocument/2006/relationships/hyperlink" Target="https://drive.google.com/file/d/1sL_6J2LxzpC6ycPd3lydgpkCnRDUU4jK/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hub.leadingage.org/" TargetMode="External"/><Relationship Id="rId24" Type="http://schemas.openxmlformats.org/officeDocument/2006/relationships/hyperlink" Target="https://leadingage.org/regulation/nursing-homes-new-newsletter-life-safetyemergency-prep?mkt_tok=eyJpIjoiTnpGbE9UQTRZVGM0TTJVeSIsInQiOiJROHkxUVwvRHZuVGZkTmE4eit3SlwvYURXUGZpNHQyYjZcL3hCaGQ3VDBqNHFaSlpNUWNTRmdsVFwvbUE2MWo5NVg2SVU5QWZuUFhcLzlTNHo3RThzXC9CZTRwQjdRRE5IQ29cL0liMlByZ3FlNkkrTHFhRkpoeDlIREwyVlB3MDFlN083MGYifQ%3D%3D" TargetMode="External"/><Relationship Id="rId5" Type="http://schemas.openxmlformats.org/officeDocument/2006/relationships/webSettings" Target="webSettings.xml"/><Relationship Id="rId15" Type="http://schemas.openxmlformats.org/officeDocument/2006/relationships/hyperlink" Target="https://s3.amazonaws.com/public-inspection.federalregister.gov/2019-08143.pdf" TargetMode="External"/><Relationship Id="rId23" Type="http://schemas.openxmlformats.org/officeDocument/2006/relationships/hyperlink" Target="https://www.leadingage.org/regulatory-roundup-20" TargetMode="External"/><Relationship Id="rId28" Type="http://schemas.openxmlformats.org/officeDocument/2006/relationships/header" Target="header1.xml"/><Relationship Id="rId10" Type="http://schemas.openxmlformats.org/officeDocument/2006/relationships/hyperlink" Target="https://www.leadingage.org/members/staff-competency-toolkit%C2%A9-available" TargetMode="External"/><Relationship Id="rId19" Type="http://schemas.openxmlformats.org/officeDocument/2006/relationships/hyperlink" Target="https://www.leadingage.org/center-managed-care/cms-finalizes-chronically-ill-benefits-dsnp-integration-and-telehealth-policies?mkt_tok=eyJpIjoiT1dWbE1qVXpaVEE0Tm1NMCIsInQiOiI4Zm5DZHEwNFpxVlo5T3hcL1E5cUlRRk10VmNETmNST2VjdEJ5WWlqekdyTzJhVVhIaitiU3h2V1J1UGVhdHRCRXJuU2xSTnUzdDZxMEhMZUtQdWwySjdnYVwvXC9Oc05EcjN6U3l5VlB4emtwWTc0cXFTNVhtNHN5Q09VMVZzOHozSCJ9" TargetMode="External"/><Relationship Id="rId4" Type="http://schemas.openxmlformats.org/officeDocument/2006/relationships/settings" Target="settings.xml"/><Relationship Id="rId9" Type="http://schemas.openxmlformats.org/officeDocument/2006/relationships/hyperlink" Target="https://www.leadingage.org/tools-information/trauma-informed-care-resources" TargetMode="External"/><Relationship Id="rId14" Type="http://schemas.openxmlformats.org/officeDocument/2006/relationships/hyperlink" Target="https://www.cms.gov/newsroom/press-releases/cms-seeks-public-input-patients-over-paperwork-initiative-further-reduce-administrative-regulatory" TargetMode="External"/><Relationship Id="rId22" Type="http://schemas.openxmlformats.org/officeDocument/2006/relationships/hyperlink" Target="https://www.ltsscenter.org/new-toolkit-connecting-generations-in-senior-housing/?mkt_tok=eyJpIjoiWW1NNU5EUXlZV1ZqTlRFeSIsInQiOiJTTHUzYmVPbm1DR082a1wvN1p1Z2k4b1VcL1NuZ2ZYekNkMnM4NFhqYXNMdTMxc3NrRFp5TWRVcStYaEFmNlNkbzc0NnI5V3U0c0QwNmdQQWx0YksxTFk0ak1zeEx1XC9qYVNxbEFraVRINlJzTXNZOTQzQlozTVpEeDZmemdXN05LWCJ9" TargetMode="External"/><Relationship Id="rId27" Type="http://schemas.openxmlformats.org/officeDocument/2006/relationships/hyperlink" Target="https://www.leadingage.org/2030scenario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F726F-3C70-4559-B9EF-F9E7FE1E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Hooks</dc:creator>
  <cp:keywords/>
  <dc:description/>
  <cp:lastModifiedBy>Jodi Boyne</cp:lastModifiedBy>
  <cp:revision>2</cp:revision>
  <cp:lastPrinted>2018-09-13T15:31:00Z</cp:lastPrinted>
  <dcterms:created xsi:type="dcterms:W3CDTF">2019-06-16T16:39:00Z</dcterms:created>
  <dcterms:modified xsi:type="dcterms:W3CDTF">2019-06-16T16:39:00Z</dcterms:modified>
</cp:coreProperties>
</file>